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67A" w14:textId="77777777" w:rsidR="00A0186C" w:rsidRPr="00251753" w:rsidRDefault="00FF447F" w:rsidP="00452CAC">
      <w:pPr>
        <w:jc w:val="right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 w:rsidRPr="00251753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</w:t>
      </w:r>
      <w:r w:rsidR="00A0186C" w:rsidRPr="00251753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Informacja prasowa</w:t>
      </w:r>
    </w:p>
    <w:p w14:paraId="7D7B70B0" w14:textId="0945C390" w:rsidR="00A0186C" w:rsidRPr="00452CAC" w:rsidRDefault="00C842B8" w:rsidP="00452CAC">
      <w:pPr>
        <w:jc w:val="right"/>
        <w:rPr>
          <w:rFonts w:asciiTheme="minorHAnsi" w:hAnsiTheme="minorHAnsi" w:cstheme="minorHAnsi"/>
          <w:sz w:val="20"/>
          <w:szCs w:val="20"/>
        </w:rPr>
      </w:pPr>
      <w:r w:rsidRPr="00452CAC">
        <w:rPr>
          <w:rFonts w:asciiTheme="minorHAnsi" w:hAnsiTheme="minorHAnsi" w:cstheme="minorHAnsi"/>
          <w:sz w:val="20"/>
          <w:szCs w:val="20"/>
        </w:rPr>
        <w:t>11</w:t>
      </w:r>
      <w:r w:rsidR="001776C6" w:rsidRPr="00452CAC">
        <w:rPr>
          <w:rFonts w:asciiTheme="minorHAnsi" w:hAnsiTheme="minorHAnsi" w:cstheme="minorHAnsi"/>
          <w:sz w:val="20"/>
          <w:szCs w:val="20"/>
        </w:rPr>
        <w:t>.</w:t>
      </w:r>
      <w:r w:rsidR="003867A6" w:rsidRPr="00452CAC">
        <w:rPr>
          <w:rFonts w:asciiTheme="minorHAnsi" w:hAnsiTheme="minorHAnsi" w:cstheme="minorHAnsi"/>
          <w:sz w:val="20"/>
          <w:szCs w:val="20"/>
        </w:rPr>
        <w:t>0</w:t>
      </w:r>
      <w:r w:rsidR="00DA79C2" w:rsidRPr="00452CAC">
        <w:rPr>
          <w:rFonts w:asciiTheme="minorHAnsi" w:hAnsiTheme="minorHAnsi" w:cstheme="minorHAnsi"/>
          <w:sz w:val="20"/>
          <w:szCs w:val="20"/>
        </w:rPr>
        <w:t>2</w:t>
      </w:r>
      <w:r w:rsidR="00A0186C" w:rsidRPr="00452CAC">
        <w:rPr>
          <w:rFonts w:asciiTheme="minorHAnsi" w:hAnsiTheme="minorHAnsi" w:cstheme="minorHAnsi"/>
          <w:sz w:val="20"/>
          <w:szCs w:val="20"/>
        </w:rPr>
        <w:t>.20</w:t>
      </w:r>
      <w:r w:rsidR="0003379D" w:rsidRPr="00452CAC">
        <w:rPr>
          <w:rFonts w:asciiTheme="minorHAnsi" w:hAnsiTheme="minorHAnsi" w:cstheme="minorHAnsi"/>
          <w:sz w:val="20"/>
          <w:szCs w:val="20"/>
        </w:rPr>
        <w:t>2</w:t>
      </w:r>
      <w:r w:rsidR="003867A6" w:rsidRPr="00452CAC">
        <w:rPr>
          <w:rFonts w:asciiTheme="minorHAnsi" w:hAnsiTheme="minorHAnsi" w:cstheme="minorHAnsi"/>
          <w:sz w:val="20"/>
          <w:szCs w:val="20"/>
        </w:rPr>
        <w:t>1</w:t>
      </w:r>
      <w:r w:rsidR="00A0186C" w:rsidRPr="00452CA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948AD49" w14:textId="77777777" w:rsidR="000844F9" w:rsidRPr="00452CAC" w:rsidRDefault="000844F9" w:rsidP="00452CAC">
      <w:pPr>
        <w:rPr>
          <w:rFonts w:asciiTheme="minorHAnsi" w:hAnsiTheme="minorHAnsi" w:cstheme="minorHAnsi"/>
          <w:color w:val="3B3838" w:themeColor="background2" w:themeShade="40"/>
          <w:sz w:val="20"/>
          <w:szCs w:val="20"/>
        </w:rPr>
      </w:pPr>
    </w:p>
    <w:p w14:paraId="5A9A0D20" w14:textId="46644306" w:rsidR="000844F9" w:rsidRPr="00251753" w:rsidRDefault="00C842B8" w:rsidP="00452CAC">
      <w:pPr>
        <w:rPr>
          <w:rFonts w:asciiTheme="minorHAnsi" w:hAnsiTheme="minorHAnsi" w:cstheme="minorHAnsi"/>
          <w:b/>
          <w:bCs/>
          <w:color w:val="767171" w:themeColor="background2" w:themeShade="80"/>
          <w:sz w:val="20"/>
          <w:szCs w:val="20"/>
        </w:rPr>
      </w:pPr>
      <w:r w:rsidRPr="00251753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Skonsolidowane</w:t>
      </w:r>
      <w:r w:rsidR="000844F9" w:rsidRPr="00251753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 xml:space="preserve"> </w:t>
      </w:r>
      <w:r w:rsidRPr="00251753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wyniki finansowe z</w:t>
      </w:r>
      <w:r w:rsidR="000844F9" w:rsidRPr="00251753">
        <w:rPr>
          <w:rFonts w:asciiTheme="minorHAnsi" w:hAnsiTheme="minorHAnsi" w:cstheme="minorHAnsi"/>
          <w:color w:val="767171" w:themeColor="background2" w:themeShade="80"/>
          <w:sz w:val="20"/>
          <w:szCs w:val="20"/>
        </w:rPr>
        <w:t>a IV kw. 2020 r.</w:t>
      </w:r>
    </w:p>
    <w:p w14:paraId="79970E48" w14:textId="3E253873" w:rsidR="00251753" w:rsidRDefault="007D04F2" w:rsidP="0025175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LUG: IV kw. 2020 najlepszy w całym roku</w:t>
      </w:r>
    </w:p>
    <w:p w14:paraId="691581E4" w14:textId="77777777" w:rsidR="00251753" w:rsidRDefault="00251753" w:rsidP="00251753">
      <w:pPr>
        <w:rPr>
          <w:rFonts w:asciiTheme="minorHAnsi" w:hAnsiTheme="minorHAnsi" w:cstheme="minorHAnsi"/>
          <w:b/>
        </w:rPr>
      </w:pPr>
    </w:p>
    <w:p w14:paraId="2A39AEBA" w14:textId="77777777" w:rsidR="00251753" w:rsidRPr="00251753" w:rsidRDefault="0083635B" w:rsidP="0025175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251753">
        <w:rPr>
          <w:rFonts w:asciiTheme="minorHAnsi" w:hAnsiTheme="minorHAnsi" w:cstheme="minorHAnsi"/>
          <w:b/>
          <w:bCs/>
          <w:sz w:val="20"/>
          <w:szCs w:val="20"/>
        </w:rPr>
        <w:t xml:space="preserve">50,45 mln zł </w:t>
      </w:r>
      <w:proofErr w:type="spellStart"/>
      <w:r w:rsidRPr="00251753">
        <w:rPr>
          <w:rFonts w:asciiTheme="minorHAnsi" w:hAnsiTheme="minorHAnsi" w:cstheme="minorHAnsi"/>
          <w:b/>
          <w:bCs/>
          <w:sz w:val="20"/>
          <w:szCs w:val="20"/>
        </w:rPr>
        <w:t>przychodów</w:t>
      </w:r>
      <w:proofErr w:type="spellEnd"/>
      <w:r w:rsidRPr="00251753">
        <w:rPr>
          <w:rFonts w:asciiTheme="minorHAnsi" w:hAnsiTheme="minorHAnsi" w:cstheme="minorHAnsi"/>
          <w:b/>
          <w:bCs/>
          <w:sz w:val="20"/>
          <w:szCs w:val="20"/>
        </w:rPr>
        <w:t xml:space="preserve"> ze </w:t>
      </w:r>
      <w:proofErr w:type="spellStart"/>
      <w:r w:rsidRPr="00251753">
        <w:rPr>
          <w:rFonts w:asciiTheme="minorHAnsi" w:hAnsiTheme="minorHAnsi" w:cstheme="minorHAnsi"/>
          <w:b/>
          <w:bCs/>
          <w:sz w:val="20"/>
          <w:szCs w:val="20"/>
        </w:rPr>
        <w:t>sprzedaży</w:t>
      </w:r>
      <w:proofErr w:type="spellEnd"/>
      <w:r w:rsidRPr="00251753">
        <w:rPr>
          <w:rFonts w:asciiTheme="minorHAnsi" w:hAnsiTheme="minorHAnsi" w:cstheme="minorHAnsi"/>
          <w:b/>
          <w:bCs/>
          <w:sz w:val="20"/>
          <w:szCs w:val="20"/>
        </w:rPr>
        <w:t xml:space="preserve"> w IV kwartale i </w:t>
      </w:r>
      <w:r w:rsidR="005F1F2D" w:rsidRPr="00251753">
        <w:rPr>
          <w:rFonts w:asciiTheme="minorHAnsi" w:hAnsiTheme="minorHAnsi" w:cstheme="minorHAnsi"/>
          <w:b/>
          <w:bCs/>
          <w:sz w:val="20"/>
          <w:szCs w:val="20"/>
        </w:rPr>
        <w:t>183,16</w:t>
      </w:r>
      <w:r w:rsidRPr="00251753">
        <w:rPr>
          <w:rFonts w:asciiTheme="minorHAnsi" w:hAnsiTheme="minorHAnsi" w:cstheme="minorHAnsi"/>
          <w:b/>
          <w:bCs/>
          <w:sz w:val="20"/>
          <w:szCs w:val="20"/>
        </w:rPr>
        <w:t xml:space="preserve"> mln zł w całym 2020 roku; </w:t>
      </w:r>
    </w:p>
    <w:p w14:paraId="7D554024" w14:textId="77777777" w:rsidR="00251753" w:rsidRPr="00251753" w:rsidRDefault="005F1F2D" w:rsidP="0025175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251753">
        <w:rPr>
          <w:rFonts w:asciiTheme="minorHAnsi" w:hAnsiTheme="minorHAnsi" w:cstheme="minorHAnsi"/>
          <w:b/>
          <w:bCs/>
          <w:sz w:val="20"/>
          <w:szCs w:val="20"/>
        </w:rPr>
        <w:t xml:space="preserve">20,72 </w:t>
      </w:r>
      <w:r w:rsidR="0083635B" w:rsidRPr="00251753">
        <w:rPr>
          <w:rFonts w:asciiTheme="minorHAnsi" w:hAnsiTheme="minorHAnsi" w:cstheme="minorHAnsi"/>
          <w:b/>
          <w:bCs/>
          <w:sz w:val="20"/>
          <w:szCs w:val="20"/>
        </w:rPr>
        <w:t xml:space="preserve">mln zł zysku brutto ze </w:t>
      </w:r>
      <w:proofErr w:type="spellStart"/>
      <w:r w:rsidR="0083635B" w:rsidRPr="00251753">
        <w:rPr>
          <w:rFonts w:asciiTheme="minorHAnsi" w:hAnsiTheme="minorHAnsi" w:cstheme="minorHAnsi"/>
          <w:b/>
          <w:bCs/>
          <w:sz w:val="20"/>
          <w:szCs w:val="20"/>
        </w:rPr>
        <w:t>sprzedaży</w:t>
      </w:r>
      <w:proofErr w:type="spellEnd"/>
      <w:r w:rsidR="0083635B" w:rsidRPr="00251753">
        <w:rPr>
          <w:rFonts w:asciiTheme="minorHAnsi" w:hAnsiTheme="minorHAnsi" w:cstheme="minorHAnsi"/>
          <w:b/>
          <w:bCs/>
          <w:sz w:val="20"/>
          <w:szCs w:val="20"/>
        </w:rPr>
        <w:t xml:space="preserve"> w IV kwartale 2020 r.</w:t>
      </w:r>
      <w:r w:rsidRPr="00251753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660A7C0C" w14:textId="77777777" w:rsidR="00251753" w:rsidRPr="00251753" w:rsidRDefault="0083635B" w:rsidP="0025175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251753">
        <w:rPr>
          <w:rFonts w:asciiTheme="minorHAnsi" w:hAnsiTheme="minorHAnsi" w:cstheme="minorHAnsi"/>
          <w:b/>
          <w:bCs/>
          <w:sz w:val="20"/>
          <w:szCs w:val="20"/>
        </w:rPr>
        <w:t xml:space="preserve">6,11 mln zł dodatnich </w:t>
      </w:r>
      <w:proofErr w:type="spellStart"/>
      <w:r w:rsidRPr="00251753">
        <w:rPr>
          <w:rFonts w:asciiTheme="minorHAnsi" w:hAnsiTheme="minorHAnsi" w:cstheme="minorHAnsi"/>
          <w:b/>
          <w:bCs/>
          <w:sz w:val="20"/>
          <w:szCs w:val="20"/>
        </w:rPr>
        <w:t>przepływów</w:t>
      </w:r>
      <w:proofErr w:type="spellEnd"/>
      <w:r w:rsidRPr="00251753">
        <w:rPr>
          <w:rFonts w:asciiTheme="minorHAnsi" w:hAnsiTheme="minorHAnsi" w:cstheme="minorHAnsi"/>
          <w:b/>
          <w:bCs/>
          <w:sz w:val="20"/>
          <w:szCs w:val="20"/>
        </w:rPr>
        <w:t xml:space="preserve"> netto z </w:t>
      </w:r>
      <w:proofErr w:type="spellStart"/>
      <w:r w:rsidRPr="00251753">
        <w:rPr>
          <w:rFonts w:asciiTheme="minorHAnsi" w:hAnsiTheme="minorHAnsi" w:cstheme="minorHAnsi"/>
          <w:b/>
          <w:bCs/>
          <w:sz w:val="20"/>
          <w:szCs w:val="20"/>
        </w:rPr>
        <w:t>działalności</w:t>
      </w:r>
      <w:proofErr w:type="spellEnd"/>
      <w:r w:rsidRPr="00251753">
        <w:rPr>
          <w:rFonts w:asciiTheme="minorHAnsi" w:hAnsiTheme="minorHAnsi" w:cstheme="minorHAnsi"/>
          <w:b/>
          <w:bCs/>
          <w:sz w:val="20"/>
          <w:szCs w:val="20"/>
        </w:rPr>
        <w:t xml:space="preserve"> operacyjnej; </w:t>
      </w:r>
    </w:p>
    <w:p w14:paraId="5761674C" w14:textId="58128845" w:rsidR="00251753" w:rsidRPr="00251753" w:rsidRDefault="00251753" w:rsidP="0025175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41% m</w:t>
      </w:r>
      <w:r w:rsidR="00C842B8" w:rsidRPr="002517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arż</w:t>
      </w:r>
      <w:r w:rsidR="00F81C3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</w:t>
      </w:r>
      <w:r w:rsidR="00C842B8" w:rsidRPr="002517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brutto na sprzedaży</w:t>
      </w:r>
      <w:r w:rsidR="00D2493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po czterech kwartałach roku</w:t>
      </w:r>
      <w:r w:rsidR="005F1F2D" w:rsidRPr="002517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;</w:t>
      </w:r>
    </w:p>
    <w:p w14:paraId="128108F8" w14:textId="77777777" w:rsidR="00251753" w:rsidRPr="00251753" w:rsidRDefault="007C017D" w:rsidP="0025175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2517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Decyzja o inwestycji</w:t>
      </w:r>
      <w:r w:rsidR="00C842B8" w:rsidRPr="002517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 rozbudow</w:t>
      </w:r>
      <w:r w:rsidRPr="002517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ę</w:t>
      </w:r>
      <w:r w:rsidR="00C842B8" w:rsidRPr="002517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Centrum Badawczo – Rozwojowego LUG o wartości 7,1 mln zł</w:t>
      </w:r>
      <w:r w:rsidR="005F1F2D" w:rsidRPr="002517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;</w:t>
      </w:r>
    </w:p>
    <w:p w14:paraId="682E7DC4" w14:textId="77777777" w:rsidR="00D24933" w:rsidRPr="00D24933" w:rsidRDefault="007C017D" w:rsidP="004321B3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517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Kontrakt na</w:t>
      </w:r>
      <w:r w:rsidR="00C842B8" w:rsidRPr="002517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wymianę blisko 40 tys. opraw oświetleniowych w </w:t>
      </w:r>
      <w:r w:rsidR="00F81C3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</w:t>
      </w:r>
      <w:r w:rsidR="00C842B8" w:rsidRPr="0025175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tolicy Polski w latach 2021-2022</w:t>
      </w:r>
      <w:r w:rsidR="00D2493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;</w:t>
      </w:r>
    </w:p>
    <w:p w14:paraId="26EEB093" w14:textId="77777777" w:rsidR="00251753" w:rsidRDefault="00251753" w:rsidP="00452CAC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E72D0EB" w14:textId="2D0BBA54" w:rsidR="007C017D" w:rsidRPr="00452CAC" w:rsidRDefault="007C017D" w:rsidP="00452CA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2CAC">
        <w:rPr>
          <w:rFonts w:asciiTheme="minorHAnsi" w:eastAsia="Calibri" w:hAnsiTheme="minorHAnsi" w:cstheme="minorHAnsi"/>
          <w:b/>
          <w:sz w:val="20"/>
          <w:szCs w:val="20"/>
        </w:rPr>
        <w:t xml:space="preserve">Grupa Kapitałowa LUG S.A. opublikowała wyniki finansowe za IV kwartał 2020 r. Skonsolidowane przychody Grupy w trzech ostatnich miesiącach roku wyniosły 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 xml:space="preserve">50,45 </w:t>
      </w:r>
      <w:r w:rsidRPr="00452CAC">
        <w:rPr>
          <w:rFonts w:asciiTheme="minorHAnsi" w:eastAsia="Calibri" w:hAnsiTheme="minorHAnsi" w:cstheme="minorHAnsi"/>
          <w:b/>
          <w:sz w:val="20"/>
          <w:szCs w:val="20"/>
        </w:rPr>
        <w:t>mln zł</w:t>
      </w:r>
      <w:r w:rsidR="00442935">
        <w:rPr>
          <w:rFonts w:asciiTheme="minorHAnsi" w:eastAsia="Calibri" w:hAnsiTheme="minorHAnsi" w:cstheme="minorHAnsi"/>
          <w:b/>
          <w:sz w:val="20"/>
          <w:szCs w:val="20"/>
        </w:rPr>
        <w:t>. Były</w:t>
      </w:r>
      <w:r w:rsidRPr="00452CAC">
        <w:rPr>
          <w:rFonts w:asciiTheme="minorHAnsi" w:eastAsia="Calibri" w:hAnsiTheme="minorHAnsi" w:cstheme="minorHAnsi"/>
          <w:b/>
          <w:sz w:val="20"/>
          <w:szCs w:val="20"/>
        </w:rPr>
        <w:t xml:space="preserve"> o 11,9% 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>wyższ</w:t>
      </w:r>
      <w:r w:rsidR="0044293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 xml:space="preserve"> niż rok wcześniej oraz</w:t>
      </w:r>
      <w:r w:rsidR="00CA4068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CA4068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>19,5% wyższ</w:t>
      </w:r>
      <w:r w:rsidR="0044293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 xml:space="preserve"> niż w III kwartale 2020 r</w:t>
      </w:r>
      <w:r w:rsidRPr="00452CAC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  <w:r w:rsidRPr="00452CAC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 xml:space="preserve">Wzrost przychodów był efektem zwiększenia </w:t>
      </w:r>
      <w:r w:rsidR="00D24933">
        <w:rPr>
          <w:rFonts w:asciiTheme="minorHAnsi" w:hAnsiTheme="minorHAnsi" w:cstheme="minorHAnsi"/>
          <w:b/>
          <w:bCs/>
          <w:sz w:val="20"/>
          <w:szCs w:val="20"/>
        </w:rPr>
        <w:t xml:space="preserve">zarówno 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>przychodów</w:t>
      </w:r>
      <w:r w:rsidR="005F1F2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>eksportowych, jak i krajowych. Był to najlepszy kwartał w całym 2020 roku.</w:t>
      </w:r>
      <w:r w:rsidRPr="00452C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>Na dynamikę przychodów w</w:t>
      </w:r>
      <w:r w:rsidR="00CA4068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>IV</w:t>
      </w:r>
      <w:r w:rsidR="00CA4068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452CAC">
        <w:rPr>
          <w:rFonts w:asciiTheme="minorHAnsi" w:hAnsiTheme="minorHAnsi" w:cstheme="minorHAnsi"/>
          <w:b/>
          <w:bCs/>
          <w:sz w:val="20"/>
          <w:szCs w:val="20"/>
        </w:rPr>
        <w:t>kwartale ub.r. pozytywny wpływ miała charakterystyczna dla branży budowlanej sezonowość.</w:t>
      </w:r>
    </w:p>
    <w:p w14:paraId="0D17A12D" w14:textId="4479A1EC" w:rsidR="00C842B8" w:rsidRPr="00452CAC" w:rsidRDefault="00C842B8" w:rsidP="00452CA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08BE21" w14:textId="5C2950D3" w:rsidR="005114ED" w:rsidRPr="00452CAC" w:rsidRDefault="00C842B8" w:rsidP="00452CAC">
      <w:pPr>
        <w:jc w:val="both"/>
        <w:rPr>
          <w:rFonts w:asciiTheme="minorHAnsi" w:hAnsiTheme="minorHAnsi" w:cstheme="minorHAnsi"/>
          <w:sz w:val="20"/>
          <w:szCs w:val="20"/>
        </w:rPr>
      </w:pPr>
      <w:r w:rsidRPr="00452CAC">
        <w:rPr>
          <w:rFonts w:asciiTheme="minorHAnsi" w:hAnsiTheme="minorHAnsi" w:cstheme="minorHAnsi"/>
          <w:sz w:val="20"/>
          <w:szCs w:val="20"/>
        </w:rPr>
        <w:t>-</w:t>
      </w:r>
      <w:r w:rsidR="009F7E72" w:rsidRPr="00452CAC">
        <w:rPr>
          <w:rFonts w:asciiTheme="minorHAnsi" w:hAnsiTheme="minorHAnsi" w:cstheme="minorHAnsi"/>
          <w:sz w:val="20"/>
          <w:szCs w:val="20"/>
        </w:rPr>
        <w:t xml:space="preserve"> </w:t>
      </w:r>
      <w:r w:rsidRPr="00452CAC">
        <w:rPr>
          <w:rFonts w:asciiTheme="minorHAnsi" w:hAnsiTheme="minorHAnsi" w:cstheme="minorHAnsi"/>
          <w:sz w:val="20"/>
          <w:szCs w:val="20"/>
        </w:rPr>
        <w:t>IV kw. 2020 r. przyniósł stabilizację przychodów w poszczególnych miesiącach kwartału</w:t>
      </w:r>
      <w:r w:rsidR="00D24933">
        <w:rPr>
          <w:rFonts w:asciiTheme="minorHAnsi" w:hAnsiTheme="minorHAnsi" w:cstheme="minorHAnsi"/>
          <w:sz w:val="20"/>
          <w:szCs w:val="20"/>
        </w:rPr>
        <w:t xml:space="preserve"> p</w:t>
      </w:r>
      <w:r w:rsidRPr="00452CAC">
        <w:rPr>
          <w:rFonts w:asciiTheme="minorHAnsi" w:hAnsiTheme="minorHAnsi" w:cstheme="minorHAnsi"/>
          <w:sz w:val="20"/>
          <w:szCs w:val="20"/>
        </w:rPr>
        <w:t>owiązan</w:t>
      </w:r>
      <w:r w:rsidR="00D24933">
        <w:rPr>
          <w:rFonts w:asciiTheme="minorHAnsi" w:hAnsiTheme="minorHAnsi" w:cstheme="minorHAnsi"/>
          <w:sz w:val="20"/>
          <w:szCs w:val="20"/>
        </w:rPr>
        <w:t>ą</w:t>
      </w:r>
      <w:r w:rsidRPr="00452CAC">
        <w:rPr>
          <w:rFonts w:asciiTheme="minorHAnsi" w:hAnsiTheme="minorHAnsi" w:cstheme="minorHAnsi"/>
          <w:sz w:val="20"/>
          <w:szCs w:val="20"/>
        </w:rPr>
        <w:t xml:space="preserve"> ze wzmożoną aktywnością branży budowlanej związaną z cyklem budowlanym. W równym tempie rozwijaliśmy sprzedaż krajową i eksportową, korzystając ze stopniowego otwierania gospodarek poszczególnych krajów. Redukowaliśmy poziom zadłużenia Grupy i pracowaliśmy nad nowymi</w:t>
      </w:r>
      <w:r w:rsidR="00F81C3F">
        <w:rPr>
          <w:rFonts w:asciiTheme="minorHAnsi" w:hAnsiTheme="minorHAnsi" w:cstheme="minorHAnsi"/>
          <w:sz w:val="20"/>
          <w:szCs w:val="20"/>
        </w:rPr>
        <w:t>,</w:t>
      </w:r>
      <w:r w:rsidRPr="00452CAC">
        <w:rPr>
          <w:rFonts w:asciiTheme="minorHAnsi" w:hAnsiTheme="minorHAnsi" w:cstheme="minorHAnsi"/>
          <w:sz w:val="20"/>
          <w:szCs w:val="20"/>
        </w:rPr>
        <w:t xml:space="preserve"> bardzo ważnymi kontraktami</w:t>
      </w:r>
      <w:r w:rsidR="00F81C3F">
        <w:rPr>
          <w:rFonts w:asciiTheme="minorHAnsi" w:hAnsiTheme="minorHAnsi" w:cstheme="minorHAnsi"/>
          <w:sz w:val="20"/>
          <w:szCs w:val="20"/>
        </w:rPr>
        <w:t>,</w:t>
      </w:r>
      <w:r w:rsidRPr="00452CAC">
        <w:rPr>
          <w:rFonts w:asciiTheme="minorHAnsi" w:hAnsiTheme="minorHAnsi" w:cstheme="minorHAnsi"/>
          <w:sz w:val="20"/>
          <w:szCs w:val="20"/>
        </w:rPr>
        <w:t xml:space="preserve"> jak chociażby projekt wymiany oświetlenia w Warszawie</w:t>
      </w:r>
      <w:r w:rsidR="00FC34E3">
        <w:rPr>
          <w:rFonts w:asciiTheme="minorHAnsi" w:hAnsiTheme="minorHAnsi" w:cstheme="minorHAnsi"/>
          <w:sz w:val="20"/>
          <w:szCs w:val="20"/>
        </w:rPr>
        <w:t xml:space="preserve"> </w:t>
      </w:r>
      <w:r w:rsidR="00AD1674" w:rsidRPr="00452CAC">
        <w:rPr>
          <w:rFonts w:asciiTheme="minorHAnsi" w:hAnsiTheme="minorHAnsi" w:cstheme="minorHAnsi"/>
          <w:sz w:val="20"/>
          <w:szCs w:val="20"/>
        </w:rPr>
        <w:t xml:space="preserve">– </w:t>
      </w:r>
      <w:r w:rsidR="00AD1674" w:rsidRPr="00452CAC">
        <w:rPr>
          <w:rFonts w:asciiTheme="minorHAnsi" w:hAnsiTheme="minorHAnsi" w:cstheme="minorHAnsi"/>
          <w:b/>
          <w:bCs/>
          <w:sz w:val="20"/>
          <w:szCs w:val="20"/>
        </w:rPr>
        <w:t xml:space="preserve">mówi Ryszard </w:t>
      </w:r>
      <w:proofErr w:type="spellStart"/>
      <w:r w:rsidR="00AD1674" w:rsidRPr="00452CAC">
        <w:rPr>
          <w:rFonts w:asciiTheme="minorHAnsi" w:hAnsiTheme="minorHAnsi" w:cstheme="minorHAnsi"/>
          <w:b/>
          <w:bCs/>
          <w:sz w:val="20"/>
          <w:szCs w:val="20"/>
        </w:rPr>
        <w:t>Wtorkowski</w:t>
      </w:r>
      <w:proofErr w:type="spellEnd"/>
      <w:r w:rsidR="00AD1674" w:rsidRPr="00452CAC">
        <w:rPr>
          <w:rFonts w:asciiTheme="minorHAnsi" w:hAnsiTheme="minorHAnsi" w:cstheme="minorHAnsi"/>
          <w:b/>
          <w:bCs/>
          <w:sz w:val="20"/>
          <w:szCs w:val="20"/>
        </w:rPr>
        <w:t>, Prezes Zarządu LUG S.A</w:t>
      </w:r>
      <w:r w:rsidR="00AD1674" w:rsidRPr="00452CAC">
        <w:rPr>
          <w:rFonts w:asciiTheme="minorHAnsi" w:hAnsiTheme="minorHAnsi" w:cstheme="minorHAnsi"/>
          <w:sz w:val="20"/>
          <w:szCs w:val="20"/>
        </w:rPr>
        <w:t>.</w:t>
      </w:r>
      <w:r w:rsidR="00AD1674" w:rsidRPr="00452CA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22139143" w14:textId="77777777" w:rsidR="007C017D" w:rsidRPr="00452CAC" w:rsidRDefault="007C017D" w:rsidP="00452CAC">
      <w:pPr>
        <w:rPr>
          <w:rFonts w:asciiTheme="minorHAnsi" w:hAnsiTheme="minorHAnsi" w:cstheme="minorHAnsi"/>
          <w:sz w:val="20"/>
          <w:szCs w:val="20"/>
        </w:rPr>
      </w:pPr>
    </w:p>
    <w:p w14:paraId="7BF7C944" w14:textId="06EAFB59" w:rsidR="007C017D" w:rsidRPr="00452CAC" w:rsidRDefault="00AB6F0C" w:rsidP="00BE014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Mix wolumenu</w:t>
      </w:r>
      <w:r w:rsidR="007C017D" w:rsidRPr="00452C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C017D" w:rsidRPr="00452CAC">
        <w:rPr>
          <w:rFonts w:asciiTheme="minorHAnsi" w:hAnsiTheme="minorHAnsi" w:cstheme="minorHAnsi"/>
          <w:sz w:val="20"/>
          <w:szCs w:val="20"/>
        </w:rPr>
        <w:t>przychodów</w:t>
      </w:r>
      <w:proofErr w:type="spellEnd"/>
      <w:r w:rsidR="007C017D" w:rsidRPr="00452CA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oraz poziomu kosztów znalazł </w:t>
      </w:r>
      <w:r w:rsidR="007C017D" w:rsidRPr="00452CAC">
        <w:rPr>
          <w:rFonts w:asciiTheme="minorHAnsi" w:hAnsiTheme="minorHAnsi" w:cstheme="minorHAnsi"/>
          <w:sz w:val="20"/>
          <w:szCs w:val="20"/>
        </w:rPr>
        <w:t>odzwierciedl</w:t>
      </w:r>
      <w:r>
        <w:rPr>
          <w:rFonts w:asciiTheme="minorHAnsi" w:hAnsiTheme="minorHAnsi" w:cstheme="minorHAnsi"/>
          <w:sz w:val="20"/>
          <w:szCs w:val="20"/>
        </w:rPr>
        <w:t xml:space="preserve">enie na poziomie </w:t>
      </w:r>
      <w:r w:rsidR="007C017D" w:rsidRPr="00452CAC">
        <w:rPr>
          <w:rFonts w:asciiTheme="minorHAnsi" w:hAnsiTheme="minorHAnsi" w:cstheme="minorHAnsi"/>
          <w:sz w:val="20"/>
          <w:szCs w:val="20"/>
        </w:rPr>
        <w:t xml:space="preserve">zysk brutto ze </w:t>
      </w:r>
      <w:proofErr w:type="spellStart"/>
      <w:r w:rsidR="007C017D" w:rsidRPr="00452CAC">
        <w:rPr>
          <w:rFonts w:asciiTheme="minorHAnsi" w:hAnsiTheme="minorHAnsi" w:cstheme="minorHAnsi"/>
          <w:sz w:val="20"/>
          <w:szCs w:val="20"/>
        </w:rPr>
        <w:t>sprzedaży</w:t>
      </w:r>
      <w:proofErr w:type="spellEnd"/>
      <w:r w:rsidR="007C017D" w:rsidRPr="00452CA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7C017D" w:rsidRPr="00452CAC">
        <w:rPr>
          <w:rFonts w:asciiTheme="minorHAnsi" w:hAnsiTheme="minorHAnsi" w:cstheme="minorHAnsi"/>
          <w:sz w:val="20"/>
          <w:szCs w:val="20"/>
        </w:rPr>
        <w:t>który</w:t>
      </w:r>
      <w:proofErr w:type="spellEnd"/>
      <w:r w:rsidR="007C017D" w:rsidRPr="00452CAC">
        <w:rPr>
          <w:rFonts w:asciiTheme="minorHAnsi" w:hAnsiTheme="minorHAnsi" w:cstheme="minorHAnsi"/>
          <w:sz w:val="20"/>
          <w:szCs w:val="20"/>
        </w:rPr>
        <w:t xml:space="preserve"> w IV kwartale 2020 r. osiągnął poziom 20,72 mln zł, czyli o 25% więcej niż </w:t>
      </w:r>
      <w:r w:rsidR="00F81C3F">
        <w:rPr>
          <w:rFonts w:asciiTheme="minorHAnsi" w:hAnsiTheme="minorHAnsi" w:cstheme="minorHAnsi"/>
          <w:sz w:val="20"/>
          <w:szCs w:val="20"/>
        </w:rPr>
        <w:t>kwartał wcześniej</w:t>
      </w:r>
      <w:r w:rsidR="007C017D" w:rsidRPr="00452CAC">
        <w:rPr>
          <w:rFonts w:asciiTheme="minorHAnsi" w:hAnsiTheme="minorHAnsi" w:cstheme="minorHAnsi"/>
          <w:sz w:val="20"/>
          <w:szCs w:val="20"/>
        </w:rPr>
        <w:t xml:space="preserve"> i </w:t>
      </w:r>
      <w:r w:rsidR="00F81C3F">
        <w:rPr>
          <w:rFonts w:asciiTheme="minorHAnsi" w:hAnsiTheme="minorHAnsi" w:cstheme="minorHAnsi"/>
          <w:sz w:val="20"/>
          <w:szCs w:val="20"/>
        </w:rPr>
        <w:t xml:space="preserve">o </w:t>
      </w:r>
      <w:r w:rsidR="00442935">
        <w:rPr>
          <w:rFonts w:asciiTheme="minorHAnsi" w:hAnsiTheme="minorHAnsi" w:cstheme="minorHAnsi"/>
          <w:sz w:val="20"/>
          <w:szCs w:val="20"/>
        </w:rPr>
        <w:t>ponad</w:t>
      </w:r>
      <w:r w:rsidR="00F81C3F">
        <w:rPr>
          <w:rFonts w:asciiTheme="minorHAnsi" w:hAnsiTheme="minorHAnsi" w:cstheme="minorHAnsi"/>
          <w:sz w:val="20"/>
          <w:szCs w:val="20"/>
        </w:rPr>
        <w:t xml:space="preserve"> </w:t>
      </w:r>
      <w:r w:rsidR="007C017D" w:rsidRPr="00452CAC">
        <w:rPr>
          <w:rFonts w:asciiTheme="minorHAnsi" w:hAnsiTheme="minorHAnsi" w:cstheme="minorHAnsi"/>
          <w:sz w:val="20"/>
          <w:szCs w:val="20"/>
        </w:rPr>
        <w:t xml:space="preserve">połowę (52,1%) więcej niż przed rokiem. </w:t>
      </w:r>
      <w:r w:rsidR="005A16E4">
        <w:rPr>
          <w:rFonts w:asciiTheme="minorHAnsi" w:hAnsiTheme="minorHAnsi" w:cstheme="minorHAnsi"/>
          <w:sz w:val="20"/>
          <w:szCs w:val="20"/>
        </w:rPr>
        <w:t xml:space="preserve">Wzrost przychodów i </w:t>
      </w:r>
      <w:r w:rsidR="005A16E4" w:rsidRPr="005A16E4">
        <w:rPr>
          <w:rFonts w:asciiTheme="minorHAnsi" w:hAnsiTheme="minorHAnsi" w:cstheme="minorHAnsi"/>
          <w:sz w:val="20"/>
          <w:szCs w:val="20"/>
        </w:rPr>
        <w:t>zmiana struktury asortymentowej przychodów Grupy</w:t>
      </w:r>
      <w:r w:rsidR="00CA4068">
        <w:rPr>
          <w:rFonts w:asciiTheme="minorHAnsi" w:hAnsiTheme="minorHAnsi" w:cstheme="minorHAnsi"/>
          <w:sz w:val="20"/>
          <w:szCs w:val="20"/>
        </w:rPr>
        <w:t> </w:t>
      </w:r>
      <w:r w:rsidR="005A16E4" w:rsidRPr="005A16E4">
        <w:rPr>
          <w:rFonts w:asciiTheme="minorHAnsi" w:hAnsiTheme="minorHAnsi" w:cstheme="minorHAnsi"/>
          <w:sz w:val="20"/>
          <w:szCs w:val="20"/>
        </w:rPr>
        <w:t>Kapitałowej LUG w IV kwartale 2020 roku przełożyła się na wzrost marży brutto na sprzedaży. W</w:t>
      </w:r>
      <w:r w:rsidR="00CA4068">
        <w:rPr>
          <w:rFonts w:asciiTheme="minorHAnsi" w:hAnsiTheme="minorHAnsi" w:cstheme="minorHAnsi"/>
          <w:sz w:val="20"/>
          <w:szCs w:val="20"/>
        </w:rPr>
        <w:t> </w:t>
      </w:r>
      <w:r w:rsidR="005A16E4" w:rsidRPr="005A16E4">
        <w:rPr>
          <w:rFonts w:asciiTheme="minorHAnsi" w:hAnsiTheme="minorHAnsi" w:cstheme="minorHAnsi"/>
          <w:sz w:val="20"/>
          <w:szCs w:val="20"/>
        </w:rPr>
        <w:t>IV</w:t>
      </w:r>
      <w:r w:rsidR="00CA4068">
        <w:rPr>
          <w:rFonts w:asciiTheme="minorHAnsi" w:hAnsiTheme="minorHAnsi" w:cstheme="minorHAnsi"/>
          <w:sz w:val="20"/>
          <w:szCs w:val="20"/>
        </w:rPr>
        <w:t> </w:t>
      </w:r>
      <w:r w:rsidR="005A16E4" w:rsidRPr="005A16E4">
        <w:rPr>
          <w:rFonts w:asciiTheme="minorHAnsi" w:hAnsiTheme="minorHAnsi" w:cstheme="minorHAnsi"/>
          <w:sz w:val="20"/>
          <w:szCs w:val="20"/>
        </w:rPr>
        <w:t>kwartale</w:t>
      </w:r>
      <w:r w:rsidR="00CA4068">
        <w:rPr>
          <w:rFonts w:asciiTheme="minorHAnsi" w:hAnsiTheme="minorHAnsi" w:cstheme="minorHAnsi"/>
          <w:sz w:val="20"/>
          <w:szCs w:val="20"/>
        </w:rPr>
        <w:t> </w:t>
      </w:r>
      <w:r w:rsidR="005A16E4" w:rsidRPr="005A16E4">
        <w:rPr>
          <w:rFonts w:asciiTheme="minorHAnsi" w:hAnsiTheme="minorHAnsi" w:cstheme="minorHAnsi"/>
          <w:sz w:val="20"/>
          <w:szCs w:val="20"/>
        </w:rPr>
        <w:t>ub.r. marża wyniosła 41,</w:t>
      </w:r>
      <w:r>
        <w:rPr>
          <w:rFonts w:asciiTheme="minorHAnsi" w:hAnsiTheme="minorHAnsi" w:cstheme="minorHAnsi"/>
          <w:sz w:val="20"/>
          <w:szCs w:val="20"/>
        </w:rPr>
        <w:t>1%</w:t>
      </w:r>
      <w:r w:rsidR="005A16E4" w:rsidRPr="005A16E4">
        <w:rPr>
          <w:rFonts w:asciiTheme="minorHAnsi" w:hAnsiTheme="minorHAnsi" w:cstheme="minorHAnsi"/>
          <w:sz w:val="20"/>
          <w:szCs w:val="20"/>
        </w:rPr>
        <w:t>,</w:t>
      </w:r>
      <w:r w:rsidR="005A16E4">
        <w:rPr>
          <w:rFonts w:asciiTheme="minorHAnsi" w:hAnsiTheme="minorHAnsi" w:cstheme="minorHAnsi"/>
          <w:sz w:val="20"/>
          <w:szCs w:val="20"/>
        </w:rPr>
        <w:t xml:space="preserve"> </w:t>
      </w:r>
      <w:r w:rsidR="007C017D" w:rsidRPr="00452CAC">
        <w:rPr>
          <w:rFonts w:asciiTheme="minorHAnsi" w:hAnsiTheme="minorHAnsi" w:cstheme="minorHAnsi"/>
          <w:sz w:val="20"/>
          <w:szCs w:val="20"/>
        </w:rPr>
        <w:t>czyli</w:t>
      </w:r>
      <w:r w:rsidR="00F81C3F">
        <w:rPr>
          <w:rFonts w:asciiTheme="minorHAnsi" w:hAnsiTheme="minorHAnsi" w:cstheme="minorHAnsi"/>
          <w:sz w:val="20"/>
          <w:szCs w:val="20"/>
        </w:rPr>
        <w:t xml:space="preserve"> utrzymała się</w:t>
      </w:r>
      <w:r w:rsidR="007C017D" w:rsidRPr="00452CAC">
        <w:rPr>
          <w:rFonts w:asciiTheme="minorHAnsi" w:hAnsiTheme="minorHAnsi" w:cstheme="minorHAnsi"/>
          <w:sz w:val="20"/>
          <w:szCs w:val="20"/>
        </w:rPr>
        <w:t xml:space="preserve"> na poziomie przewyższającym 40%</w:t>
      </w:r>
      <w:r w:rsidR="00F81C3F">
        <w:rPr>
          <w:rFonts w:asciiTheme="minorHAnsi" w:hAnsiTheme="minorHAnsi" w:cstheme="minorHAnsi"/>
          <w:sz w:val="20"/>
          <w:szCs w:val="20"/>
        </w:rPr>
        <w:t xml:space="preserve"> -</w:t>
      </w:r>
      <w:r w:rsidR="007C017D" w:rsidRPr="00452CAC">
        <w:rPr>
          <w:rFonts w:asciiTheme="minorHAnsi" w:hAnsiTheme="minorHAnsi" w:cstheme="minorHAnsi"/>
          <w:sz w:val="20"/>
          <w:szCs w:val="20"/>
        </w:rPr>
        <w:t xml:space="preserve"> oczekiwane zgodnie ze</w:t>
      </w:r>
      <w:r w:rsidR="00CA4068">
        <w:rPr>
          <w:rFonts w:asciiTheme="minorHAnsi" w:hAnsiTheme="minorHAnsi" w:cstheme="minorHAnsi"/>
          <w:sz w:val="20"/>
          <w:szCs w:val="20"/>
        </w:rPr>
        <w:t> </w:t>
      </w:r>
      <w:r w:rsidR="007C017D" w:rsidRPr="00452CAC">
        <w:rPr>
          <w:rFonts w:asciiTheme="minorHAnsi" w:hAnsiTheme="minorHAnsi" w:cstheme="minorHAnsi"/>
          <w:sz w:val="20"/>
          <w:szCs w:val="20"/>
        </w:rPr>
        <w:t>strategicznymi kierunkami rozwoju Grupy.</w:t>
      </w:r>
    </w:p>
    <w:p w14:paraId="1F704BBC" w14:textId="77777777" w:rsidR="007C017D" w:rsidRPr="00452CAC" w:rsidRDefault="007C017D" w:rsidP="00BE0148">
      <w:pPr>
        <w:rPr>
          <w:rFonts w:asciiTheme="minorHAnsi" w:hAnsiTheme="minorHAnsi" w:cstheme="minorHAnsi"/>
          <w:sz w:val="20"/>
          <w:szCs w:val="20"/>
        </w:rPr>
      </w:pPr>
    </w:p>
    <w:p w14:paraId="50F89373" w14:textId="141D1B88" w:rsidR="00577BF5" w:rsidRPr="00AA1695" w:rsidRDefault="007C017D" w:rsidP="00577BF5">
      <w:pPr>
        <w:jc w:val="both"/>
        <w:rPr>
          <w:rFonts w:ascii="Calibri" w:hAnsi="Calibri" w:cs="AppleSystemUIFontItalic"/>
          <w:sz w:val="20"/>
          <w:szCs w:val="20"/>
        </w:rPr>
      </w:pPr>
      <w:r w:rsidRPr="00452CAC">
        <w:rPr>
          <w:rFonts w:asciiTheme="minorHAnsi" w:hAnsiTheme="minorHAnsi" w:cstheme="minorHAnsi"/>
          <w:sz w:val="20"/>
          <w:szCs w:val="20"/>
        </w:rPr>
        <w:t xml:space="preserve">Udział przychodów krajowych w IV kw. 2020 r. wyniósł 36,6%, wartościowo przychody na rynku krajowym wzrosły do poziomu 18,44 mln zł, co było efektem zamykania inwestycji budowlanych. Przychody eksportowe </w:t>
      </w:r>
      <w:r w:rsidR="005F1F2D">
        <w:rPr>
          <w:rFonts w:asciiTheme="minorHAnsi" w:hAnsiTheme="minorHAnsi" w:cstheme="minorHAnsi"/>
          <w:sz w:val="20"/>
          <w:szCs w:val="20"/>
        </w:rPr>
        <w:t>stanowiły w</w:t>
      </w:r>
      <w:r w:rsidR="00CA4068">
        <w:rPr>
          <w:rFonts w:asciiTheme="minorHAnsi" w:hAnsiTheme="minorHAnsi" w:cstheme="minorHAnsi"/>
          <w:sz w:val="20"/>
          <w:szCs w:val="20"/>
        </w:rPr>
        <w:t> </w:t>
      </w:r>
      <w:r w:rsidR="005F1F2D">
        <w:rPr>
          <w:rFonts w:asciiTheme="minorHAnsi" w:hAnsiTheme="minorHAnsi" w:cstheme="minorHAnsi"/>
          <w:sz w:val="20"/>
          <w:szCs w:val="20"/>
        </w:rPr>
        <w:t xml:space="preserve">tym okresie </w:t>
      </w:r>
      <w:r w:rsidRPr="00452CAC">
        <w:rPr>
          <w:rFonts w:asciiTheme="minorHAnsi" w:hAnsiTheme="minorHAnsi" w:cstheme="minorHAnsi"/>
          <w:sz w:val="20"/>
          <w:szCs w:val="20"/>
        </w:rPr>
        <w:t>63,4%, o 9,8pp więcej niż przed rokiem</w:t>
      </w:r>
      <w:r w:rsidR="00F81C3F">
        <w:rPr>
          <w:rFonts w:asciiTheme="minorHAnsi" w:hAnsiTheme="minorHAnsi" w:cstheme="minorHAnsi"/>
          <w:sz w:val="20"/>
          <w:szCs w:val="20"/>
        </w:rPr>
        <w:t>,</w:t>
      </w:r>
      <w:r w:rsidRPr="00452CAC">
        <w:rPr>
          <w:rFonts w:asciiTheme="minorHAnsi" w:hAnsiTheme="minorHAnsi" w:cstheme="minorHAnsi"/>
          <w:sz w:val="20"/>
          <w:szCs w:val="20"/>
        </w:rPr>
        <w:t xml:space="preserve"> osiągając </w:t>
      </w:r>
      <w:r w:rsidRPr="00AB6F0C">
        <w:rPr>
          <w:rFonts w:asciiTheme="minorHAnsi" w:hAnsiTheme="minorHAnsi" w:cstheme="minorHAnsi"/>
          <w:sz w:val="20"/>
          <w:szCs w:val="20"/>
        </w:rPr>
        <w:t xml:space="preserve">wartość </w:t>
      </w:r>
      <w:r w:rsidR="00AB6F0C" w:rsidRPr="00AB6F0C">
        <w:rPr>
          <w:rFonts w:asciiTheme="minorHAnsi" w:hAnsiTheme="minorHAnsi" w:cstheme="minorHAnsi"/>
          <w:sz w:val="20"/>
          <w:szCs w:val="20"/>
        </w:rPr>
        <w:t>3</w:t>
      </w:r>
      <w:r w:rsidR="00AB6F0C">
        <w:rPr>
          <w:rFonts w:asciiTheme="minorHAnsi" w:hAnsiTheme="minorHAnsi" w:cstheme="minorHAnsi"/>
          <w:sz w:val="20"/>
          <w:szCs w:val="20"/>
        </w:rPr>
        <w:t>2,01 mln zł (+32,3% r/r).</w:t>
      </w:r>
      <w:r w:rsidRPr="00452CAC">
        <w:rPr>
          <w:rFonts w:asciiTheme="minorHAnsi" w:hAnsiTheme="minorHAnsi" w:cstheme="minorHAnsi"/>
          <w:sz w:val="20"/>
          <w:szCs w:val="20"/>
        </w:rPr>
        <w:t xml:space="preserve"> </w:t>
      </w:r>
      <w:r w:rsidR="005A16E4">
        <w:rPr>
          <w:rFonts w:asciiTheme="minorHAnsi" w:hAnsiTheme="minorHAnsi" w:cstheme="minorHAnsi"/>
          <w:sz w:val="20"/>
          <w:szCs w:val="20"/>
        </w:rPr>
        <w:t>P</w:t>
      </w:r>
      <w:r w:rsidRPr="00452CAC">
        <w:rPr>
          <w:rFonts w:asciiTheme="minorHAnsi" w:hAnsiTheme="minorHAnsi" w:cstheme="minorHAnsi"/>
          <w:sz w:val="20"/>
          <w:szCs w:val="20"/>
        </w:rPr>
        <w:t>odobnie jak</w:t>
      </w:r>
      <w:r w:rsidR="00CA4068">
        <w:rPr>
          <w:rFonts w:asciiTheme="minorHAnsi" w:hAnsiTheme="minorHAnsi" w:cstheme="minorHAnsi"/>
          <w:sz w:val="20"/>
          <w:szCs w:val="20"/>
        </w:rPr>
        <w:t> </w:t>
      </w:r>
      <w:r w:rsidRPr="00452CAC">
        <w:rPr>
          <w:rFonts w:asciiTheme="minorHAnsi" w:hAnsiTheme="minorHAnsi" w:cstheme="minorHAnsi"/>
          <w:sz w:val="20"/>
          <w:szCs w:val="20"/>
        </w:rPr>
        <w:t>w</w:t>
      </w:r>
      <w:r w:rsidR="00CA4068">
        <w:rPr>
          <w:rFonts w:asciiTheme="minorHAnsi" w:hAnsiTheme="minorHAnsi" w:cstheme="minorHAnsi"/>
          <w:sz w:val="20"/>
          <w:szCs w:val="20"/>
        </w:rPr>
        <w:t> </w:t>
      </w:r>
      <w:r w:rsidR="005A16E4">
        <w:rPr>
          <w:rFonts w:asciiTheme="minorHAnsi" w:hAnsiTheme="minorHAnsi" w:cstheme="minorHAnsi"/>
          <w:sz w:val="20"/>
          <w:szCs w:val="20"/>
        </w:rPr>
        <w:t>III</w:t>
      </w:r>
      <w:r w:rsidR="00670725">
        <w:rPr>
          <w:rFonts w:asciiTheme="minorHAnsi" w:hAnsiTheme="minorHAnsi" w:cstheme="minorHAnsi"/>
          <w:sz w:val="20"/>
          <w:szCs w:val="20"/>
        </w:rPr>
        <w:t> </w:t>
      </w:r>
      <w:r w:rsidRPr="00452CAC">
        <w:rPr>
          <w:rFonts w:asciiTheme="minorHAnsi" w:hAnsiTheme="minorHAnsi" w:cstheme="minorHAnsi"/>
          <w:sz w:val="20"/>
          <w:szCs w:val="20"/>
        </w:rPr>
        <w:t>kwartale</w:t>
      </w:r>
      <w:r w:rsidR="005A16E4">
        <w:rPr>
          <w:rFonts w:asciiTheme="minorHAnsi" w:hAnsiTheme="minorHAnsi" w:cstheme="minorHAnsi"/>
          <w:sz w:val="20"/>
          <w:szCs w:val="20"/>
        </w:rPr>
        <w:t xml:space="preserve"> ub.r.</w:t>
      </w:r>
      <w:r w:rsidRPr="00452CAC">
        <w:rPr>
          <w:rFonts w:asciiTheme="minorHAnsi" w:hAnsiTheme="minorHAnsi" w:cstheme="minorHAnsi"/>
          <w:sz w:val="20"/>
          <w:szCs w:val="20"/>
        </w:rPr>
        <w:t xml:space="preserve">, </w:t>
      </w:r>
      <w:r w:rsidR="005A16E4">
        <w:rPr>
          <w:rFonts w:asciiTheme="minorHAnsi" w:hAnsiTheme="minorHAnsi" w:cstheme="minorHAnsi"/>
          <w:sz w:val="20"/>
          <w:szCs w:val="20"/>
        </w:rPr>
        <w:t xml:space="preserve">jest to </w:t>
      </w:r>
      <w:r w:rsidRPr="00452CAC">
        <w:rPr>
          <w:rFonts w:asciiTheme="minorHAnsi" w:hAnsiTheme="minorHAnsi" w:cstheme="minorHAnsi"/>
          <w:sz w:val="20"/>
          <w:szCs w:val="20"/>
        </w:rPr>
        <w:t>efekt stopniowego odmrażania wielu gospodarek na świecie po okresie zimowych i</w:t>
      </w:r>
      <w:r w:rsidR="00CA4068">
        <w:rPr>
          <w:rFonts w:asciiTheme="minorHAnsi" w:hAnsiTheme="minorHAnsi" w:cstheme="minorHAnsi"/>
          <w:sz w:val="20"/>
          <w:szCs w:val="20"/>
        </w:rPr>
        <w:t> </w:t>
      </w:r>
      <w:r w:rsidRPr="00452CAC">
        <w:rPr>
          <w:rFonts w:asciiTheme="minorHAnsi" w:hAnsiTheme="minorHAnsi" w:cstheme="minorHAnsi"/>
          <w:sz w:val="20"/>
          <w:szCs w:val="20"/>
        </w:rPr>
        <w:t>wiosennych restrykcji związanych z pandemią COVID-19.</w:t>
      </w:r>
      <w:r w:rsidR="005F1F2D" w:rsidRPr="005F1F2D">
        <w:t xml:space="preserve"> </w:t>
      </w:r>
      <w:r w:rsidR="005F1F2D" w:rsidRPr="005F1F2D">
        <w:rPr>
          <w:rFonts w:asciiTheme="minorHAnsi" w:hAnsiTheme="minorHAnsi" w:cstheme="minorHAnsi"/>
          <w:sz w:val="20"/>
          <w:szCs w:val="20"/>
        </w:rPr>
        <w:t>W ujęciu wartościowym przychody eksportowe w</w:t>
      </w:r>
      <w:r w:rsidR="00CA4068">
        <w:rPr>
          <w:rFonts w:asciiTheme="minorHAnsi" w:hAnsiTheme="minorHAnsi" w:cstheme="minorHAnsi"/>
          <w:sz w:val="20"/>
          <w:szCs w:val="20"/>
        </w:rPr>
        <w:t> </w:t>
      </w:r>
      <w:r w:rsidR="005F1F2D" w:rsidRPr="005F1F2D">
        <w:rPr>
          <w:rFonts w:asciiTheme="minorHAnsi" w:hAnsiTheme="minorHAnsi" w:cstheme="minorHAnsi"/>
          <w:sz w:val="20"/>
          <w:szCs w:val="20"/>
        </w:rPr>
        <w:t>ostatnich czterech kwartałach wyniosły 114,15 mln zł, podczas gdy przychody krajowe 69,01 mln zł.</w:t>
      </w:r>
      <w:r w:rsidR="00430886">
        <w:rPr>
          <w:rFonts w:asciiTheme="minorHAnsi" w:hAnsiTheme="minorHAnsi" w:cstheme="minorHAnsi"/>
          <w:sz w:val="20"/>
          <w:szCs w:val="20"/>
        </w:rPr>
        <w:br/>
      </w:r>
      <w:r w:rsidR="00430886">
        <w:rPr>
          <w:rFonts w:asciiTheme="minorHAnsi" w:hAnsiTheme="minorHAnsi" w:cstheme="minorHAnsi"/>
          <w:sz w:val="20"/>
          <w:szCs w:val="20"/>
        </w:rPr>
        <w:br/>
      </w:r>
      <w:r w:rsidRPr="00452CAC">
        <w:rPr>
          <w:rFonts w:asciiTheme="minorHAnsi" w:hAnsiTheme="minorHAnsi" w:cstheme="minorHAnsi"/>
          <w:sz w:val="20"/>
          <w:szCs w:val="20"/>
        </w:rPr>
        <w:t>Skonsolid</w:t>
      </w:r>
      <w:r w:rsidR="00430886">
        <w:rPr>
          <w:rFonts w:asciiTheme="minorHAnsi" w:hAnsiTheme="minorHAnsi" w:cstheme="minorHAnsi"/>
          <w:sz w:val="20"/>
          <w:szCs w:val="20"/>
        </w:rPr>
        <w:t>ow</w:t>
      </w:r>
      <w:r w:rsidRPr="00452CAC">
        <w:rPr>
          <w:rFonts w:asciiTheme="minorHAnsi" w:hAnsiTheme="minorHAnsi" w:cstheme="minorHAnsi"/>
          <w:sz w:val="20"/>
          <w:szCs w:val="20"/>
        </w:rPr>
        <w:t xml:space="preserve">any </w:t>
      </w:r>
      <w:r w:rsidR="00452CAC" w:rsidRPr="00452CAC">
        <w:rPr>
          <w:rFonts w:asciiTheme="minorHAnsi" w:hAnsiTheme="minorHAnsi" w:cstheme="minorHAnsi"/>
          <w:sz w:val="20"/>
          <w:szCs w:val="20"/>
        </w:rPr>
        <w:t xml:space="preserve">wynik EBITDA wyniósł w IV kw. 2020 r. 3,95 mln zł. </w:t>
      </w:r>
      <w:r w:rsidRPr="00452CAC">
        <w:rPr>
          <w:rFonts w:asciiTheme="minorHAnsi" w:hAnsiTheme="minorHAnsi" w:cstheme="minorHAnsi"/>
          <w:sz w:val="20"/>
          <w:szCs w:val="20"/>
        </w:rPr>
        <w:t xml:space="preserve">W dwunastu </w:t>
      </w:r>
      <w:r w:rsidR="00FC34E3" w:rsidRPr="00452CAC">
        <w:rPr>
          <w:rFonts w:asciiTheme="minorHAnsi" w:hAnsiTheme="minorHAnsi" w:cstheme="minorHAnsi"/>
          <w:sz w:val="20"/>
          <w:szCs w:val="20"/>
        </w:rPr>
        <w:t>miesiącach</w:t>
      </w:r>
      <w:r w:rsidRPr="00452CAC">
        <w:rPr>
          <w:rFonts w:asciiTheme="minorHAnsi" w:hAnsiTheme="minorHAnsi" w:cstheme="minorHAnsi"/>
          <w:sz w:val="20"/>
          <w:szCs w:val="20"/>
        </w:rPr>
        <w:t xml:space="preserve"> ub.r. wynik EBITDA </w:t>
      </w:r>
      <w:r w:rsidR="00430886">
        <w:rPr>
          <w:rFonts w:asciiTheme="minorHAnsi" w:hAnsiTheme="minorHAnsi" w:cstheme="minorHAnsi"/>
          <w:sz w:val="20"/>
          <w:szCs w:val="20"/>
        </w:rPr>
        <w:t>osiągnął poziom</w:t>
      </w:r>
      <w:r w:rsidRPr="00452CAC">
        <w:rPr>
          <w:rFonts w:asciiTheme="minorHAnsi" w:hAnsiTheme="minorHAnsi" w:cstheme="minorHAnsi"/>
          <w:sz w:val="20"/>
          <w:szCs w:val="20"/>
        </w:rPr>
        <w:t xml:space="preserve"> </w:t>
      </w:r>
      <w:r w:rsidR="00452CAC" w:rsidRPr="00452CAC">
        <w:rPr>
          <w:rFonts w:asciiTheme="minorHAnsi" w:hAnsiTheme="minorHAnsi" w:cstheme="minorHAnsi"/>
          <w:sz w:val="20"/>
          <w:szCs w:val="20"/>
        </w:rPr>
        <w:t xml:space="preserve">18,75 </w:t>
      </w:r>
      <w:r w:rsidRPr="00452CAC">
        <w:rPr>
          <w:rFonts w:asciiTheme="minorHAnsi" w:hAnsiTheme="minorHAnsi" w:cstheme="minorHAnsi"/>
          <w:sz w:val="20"/>
          <w:szCs w:val="20"/>
        </w:rPr>
        <w:t xml:space="preserve">mln zł. </w:t>
      </w:r>
      <w:r w:rsidR="00452CAC" w:rsidRPr="00452CAC">
        <w:rPr>
          <w:rFonts w:asciiTheme="minorHAnsi" w:hAnsiTheme="minorHAnsi" w:cstheme="minorHAnsi"/>
          <w:sz w:val="20"/>
          <w:szCs w:val="20"/>
        </w:rPr>
        <w:t xml:space="preserve"> </w:t>
      </w:r>
      <w:r w:rsidR="005F1F2D">
        <w:rPr>
          <w:rFonts w:asciiTheme="minorHAnsi" w:hAnsiTheme="minorHAnsi" w:cstheme="minorHAnsi"/>
          <w:sz w:val="20"/>
          <w:szCs w:val="20"/>
        </w:rPr>
        <w:t>W</w:t>
      </w:r>
      <w:r w:rsidR="005F1F2D" w:rsidRPr="005F1F2D">
        <w:rPr>
          <w:rFonts w:asciiTheme="minorHAnsi" w:hAnsiTheme="minorHAnsi" w:cstheme="minorHAnsi"/>
          <w:sz w:val="20"/>
          <w:szCs w:val="20"/>
        </w:rPr>
        <w:t>zrost wyniku EBITDA był spowodowany przede wszystkim istotnym zwiększeniem (o 12,56 mln zł) zysku brutto na sprzedaży. Istotny wpływ miały także wyższe o 2,96 mln zł pozostałe przychody operacyjne</w:t>
      </w:r>
      <w:r w:rsidR="00F81C3F">
        <w:rPr>
          <w:rFonts w:asciiTheme="minorHAnsi" w:hAnsiTheme="minorHAnsi" w:cstheme="minorHAnsi"/>
          <w:sz w:val="20"/>
          <w:szCs w:val="20"/>
        </w:rPr>
        <w:t>,</w:t>
      </w:r>
      <w:r w:rsidR="005F1F2D">
        <w:rPr>
          <w:rFonts w:asciiTheme="minorHAnsi" w:hAnsiTheme="minorHAnsi" w:cstheme="minorHAnsi"/>
          <w:sz w:val="20"/>
          <w:szCs w:val="20"/>
        </w:rPr>
        <w:t xml:space="preserve"> </w:t>
      </w:r>
      <w:r w:rsidR="005F1F2D" w:rsidRPr="005F1F2D">
        <w:rPr>
          <w:rFonts w:asciiTheme="minorHAnsi" w:hAnsiTheme="minorHAnsi" w:cstheme="minorHAnsi"/>
          <w:sz w:val="20"/>
          <w:szCs w:val="20"/>
        </w:rPr>
        <w:t>w ramach</w:t>
      </w:r>
      <w:r w:rsidR="00442935">
        <w:rPr>
          <w:rFonts w:asciiTheme="minorHAnsi" w:hAnsiTheme="minorHAnsi" w:cstheme="minorHAnsi"/>
          <w:sz w:val="20"/>
          <w:szCs w:val="20"/>
        </w:rPr>
        <w:t>,</w:t>
      </w:r>
      <w:r w:rsidR="005F1F2D" w:rsidRPr="005F1F2D">
        <w:rPr>
          <w:rFonts w:asciiTheme="minorHAnsi" w:hAnsiTheme="minorHAnsi" w:cstheme="minorHAnsi"/>
          <w:sz w:val="20"/>
          <w:szCs w:val="20"/>
        </w:rPr>
        <w:t xml:space="preserve"> których rozliczone zostało świadczenie </w:t>
      </w:r>
      <w:r w:rsidR="00F81C3F" w:rsidRPr="005F1F2D">
        <w:rPr>
          <w:rFonts w:asciiTheme="minorHAnsi" w:hAnsiTheme="minorHAnsi" w:cstheme="minorHAnsi"/>
          <w:sz w:val="20"/>
          <w:szCs w:val="20"/>
        </w:rPr>
        <w:t xml:space="preserve">z Funduszu Gwarantowanych Świadczeń Pracowniczych w wysokości </w:t>
      </w:r>
      <w:r w:rsidR="0096002F">
        <w:rPr>
          <w:rFonts w:asciiTheme="minorHAnsi" w:hAnsiTheme="minorHAnsi" w:cstheme="minorHAnsi"/>
          <w:sz w:val="20"/>
          <w:szCs w:val="20"/>
        </w:rPr>
        <w:t>2,63</w:t>
      </w:r>
      <w:r w:rsidR="00F81C3F" w:rsidRPr="005F1F2D">
        <w:rPr>
          <w:rFonts w:asciiTheme="minorHAnsi" w:hAnsiTheme="minorHAnsi" w:cstheme="minorHAnsi"/>
          <w:sz w:val="20"/>
          <w:szCs w:val="20"/>
        </w:rPr>
        <w:t xml:space="preserve"> mln zł </w:t>
      </w:r>
      <w:r w:rsidR="005F1F2D" w:rsidRPr="005F1F2D">
        <w:rPr>
          <w:rFonts w:asciiTheme="minorHAnsi" w:hAnsiTheme="minorHAnsi" w:cstheme="minorHAnsi"/>
          <w:sz w:val="20"/>
          <w:szCs w:val="20"/>
        </w:rPr>
        <w:t>na rzecz ochrony miejsc pracy</w:t>
      </w:r>
      <w:r w:rsidR="00F81C3F">
        <w:rPr>
          <w:rFonts w:asciiTheme="minorHAnsi" w:hAnsiTheme="minorHAnsi" w:cstheme="minorHAnsi"/>
          <w:sz w:val="20"/>
          <w:szCs w:val="20"/>
        </w:rPr>
        <w:t>,</w:t>
      </w:r>
      <w:r w:rsidR="005F1F2D" w:rsidRPr="005F1F2D">
        <w:rPr>
          <w:rFonts w:asciiTheme="minorHAnsi" w:hAnsiTheme="minorHAnsi" w:cstheme="minorHAnsi"/>
          <w:sz w:val="20"/>
          <w:szCs w:val="20"/>
        </w:rPr>
        <w:t xml:space="preserve"> które miało charakter zdarzenia jednorazowego.</w:t>
      </w:r>
      <w:r w:rsidR="00430886">
        <w:rPr>
          <w:rFonts w:asciiTheme="minorHAnsi" w:hAnsiTheme="minorHAnsi" w:cstheme="minorHAnsi"/>
          <w:sz w:val="20"/>
          <w:szCs w:val="20"/>
        </w:rPr>
        <w:t xml:space="preserve"> </w:t>
      </w:r>
      <w:r w:rsidR="00577BF5">
        <w:rPr>
          <w:rFonts w:ascii="Calibri" w:hAnsi="Calibri" w:cs="AppleSystemUIFontItalic"/>
          <w:sz w:val="20"/>
          <w:szCs w:val="20"/>
        </w:rPr>
        <w:t>Na s</w:t>
      </w:r>
      <w:r w:rsidR="00577BF5" w:rsidRPr="00AA1695">
        <w:rPr>
          <w:rFonts w:ascii="Calibri" w:hAnsi="Calibri" w:cs="AppleSystemUIFontItalic"/>
          <w:sz w:val="20"/>
          <w:szCs w:val="20"/>
        </w:rPr>
        <w:t xml:space="preserve">konsolidowany wynik operacyjny 2020 roku </w:t>
      </w:r>
      <w:r w:rsidR="00577BF5">
        <w:rPr>
          <w:rFonts w:ascii="Calibri" w:hAnsi="Calibri" w:cs="AppleSystemUIFontItalic"/>
          <w:sz w:val="20"/>
          <w:szCs w:val="20"/>
        </w:rPr>
        <w:t xml:space="preserve">miały wpływ </w:t>
      </w:r>
      <w:r w:rsidR="00577BF5" w:rsidRPr="00AA1695">
        <w:rPr>
          <w:rFonts w:ascii="Calibri" w:hAnsi="Calibri" w:cs="AppleSystemUIFontItalic"/>
          <w:sz w:val="20"/>
          <w:szCs w:val="20"/>
        </w:rPr>
        <w:t>wdrożon</w:t>
      </w:r>
      <w:r w:rsidR="00577BF5">
        <w:rPr>
          <w:rFonts w:ascii="Calibri" w:hAnsi="Calibri" w:cs="AppleSystemUIFontItalic"/>
          <w:sz w:val="20"/>
          <w:szCs w:val="20"/>
        </w:rPr>
        <w:t>e</w:t>
      </w:r>
      <w:r w:rsidR="00577BF5" w:rsidRPr="00AA1695">
        <w:rPr>
          <w:rFonts w:ascii="Calibri" w:hAnsi="Calibri" w:cs="AppleSystemUIFontItalic"/>
          <w:sz w:val="20"/>
          <w:szCs w:val="20"/>
        </w:rPr>
        <w:t xml:space="preserve"> działania optymalizacyjn</w:t>
      </w:r>
      <w:r w:rsidR="00577BF5">
        <w:rPr>
          <w:rFonts w:ascii="Calibri" w:hAnsi="Calibri" w:cs="AppleSystemUIFontItalic"/>
          <w:sz w:val="20"/>
          <w:szCs w:val="20"/>
        </w:rPr>
        <w:t xml:space="preserve">e w zakresie </w:t>
      </w:r>
      <w:r w:rsidR="0096002F">
        <w:rPr>
          <w:rFonts w:ascii="Calibri" w:hAnsi="Calibri" w:cs="AppleSystemUIFontItalic"/>
          <w:sz w:val="20"/>
          <w:szCs w:val="20"/>
        </w:rPr>
        <w:t xml:space="preserve">efektywności </w:t>
      </w:r>
      <w:r w:rsidR="00577BF5">
        <w:rPr>
          <w:rFonts w:ascii="Calibri" w:hAnsi="Calibri" w:cs="AppleSystemUIFontItalic"/>
          <w:sz w:val="20"/>
          <w:szCs w:val="20"/>
        </w:rPr>
        <w:t>wykorzystania zasobów, w tym projekt reorganizacji zarządzania flotą samochodową</w:t>
      </w:r>
      <w:r w:rsidR="00577BF5" w:rsidRPr="00AA1695">
        <w:rPr>
          <w:rFonts w:ascii="Calibri" w:hAnsi="Calibri" w:cs="AppleSystemUIFontItalic"/>
          <w:sz w:val="20"/>
          <w:szCs w:val="20"/>
        </w:rPr>
        <w:t xml:space="preserve">. Dodatkowym czynnikiem stymulującym wynik były dotacje pozyskane na rozwój portfolia produktowego w ramach projektów unijnych w wysokości ok. 1,2 mln zł. </w:t>
      </w:r>
    </w:p>
    <w:p w14:paraId="582A513C" w14:textId="6B3D847B" w:rsidR="00AB6F0C" w:rsidRDefault="00AB6F0C" w:rsidP="00AB6F0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D2DD0D" w14:textId="6A7B55A4" w:rsidR="00452CAC" w:rsidRDefault="00452CAC" w:rsidP="00AB6F0C">
      <w:pPr>
        <w:jc w:val="both"/>
        <w:rPr>
          <w:rFonts w:asciiTheme="minorHAnsi" w:hAnsiTheme="minorHAnsi" w:cstheme="minorHAnsi"/>
          <w:sz w:val="20"/>
          <w:szCs w:val="20"/>
        </w:rPr>
      </w:pPr>
      <w:r w:rsidRPr="00452CAC">
        <w:rPr>
          <w:rFonts w:asciiTheme="minorHAnsi" w:hAnsiTheme="minorHAnsi" w:cstheme="minorHAnsi"/>
          <w:sz w:val="20"/>
          <w:szCs w:val="20"/>
        </w:rPr>
        <w:t>Marża EBITDA wyniosła w IV kw. 2020 r. 7,8%., w ujęciu czterech kwartałów wyniosła 10,2%.</w:t>
      </w:r>
    </w:p>
    <w:p w14:paraId="592FEE29" w14:textId="1ED07137" w:rsidR="00AB6F0C" w:rsidRDefault="00AB6F0C" w:rsidP="00AB6F0C">
      <w:pPr>
        <w:rPr>
          <w:rFonts w:asciiTheme="minorHAnsi" w:hAnsiTheme="minorHAnsi" w:cstheme="minorHAnsi"/>
          <w:sz w:val="20"/>
          <w:szCs w:val="20"/>
        </w:rPr>
      </w:pPr>
    </w:p>
    <w:p w14:paraId="73058F9F" w14:textId="77777777" w:rsidR="00AB6F0C" w:rsidRPr="00430886" w:rsidRDefault="00AB6F0C" w:rsidP="00AB6F0C">
      <w:pPr>
        <w:rPr>
          <w:rFonts w:asciiTheme="minorHAnsi" w:hAnsiTheme="minorHAnsi" w:cstheme="minorHAnsi"/>
          <w:sz w:val="20"/>
          <w:szCs w:val="20"/>
        </w:rPr>
      </w:pPr>
      <w:r w:rsidRPr="00452CAC">
        <w:rPr>
          <w:rFonts w:asciiTheme="minorHAnsi" w:hAnsiTheme="minorHAnsi" w:cstheme="minorHAnsi"/>
          <w:sz w:val="20"/>
          <w:szCs w:val="20"/>
        </w:rPr>
        <w:lastRenderedPageBreak/>
        <w:t>Ostatni kwartał minionego roku spółka zakończyła zyskiem netto w wysokości 1,10 mln zł. W ujęciu czterech ostatnich kwartałów wynik netto wyniósł 7,52 mln zł przy marży netto na poziomie 4,1%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573B5EB" w14:textId="77777777" w:rsidR="00AB6F0C" w:rsidRPr="00452CAC" w:rsidRDefault="00AB6F0C" w:rsidP="00AB6F0C">
      <w:pPr>
        <w:rPr>
          <w:rFonts w:asciiTheme="minorHAnsi" w:hAnsiTheme="minorHAnsi" w:cstheme="minorHAnsi"/>
          <w:sz w:val="20"/>
          <w:szCs w:val="20"/>
        </w:rPr>
      </w:pPr>
    </w:p>
    <w:p w14:paraId="65111C98" w14:textId="77777777" w:rsidR="00670725" w:rsidRDefault="00251753" w:rsidP="006B36F2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251753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Wpływ pandemii </w:t>
      </w:r>
      <w:proofErr w:type="spellStart"/>
      <w:r w:rsidRPr="00251753">
        <w:rPr>
          <w:rFonts w:asciiTheme="minorHAnsi" w:hAnsiTheme="minorHAnsi" w:cstheme="minorHAnsi"/>
          <w:b/>
          <w:bCs/>
          <w:color w:val="C00000"/>
          <w:sz w:val="20"/>
          <w:szCs w:val="20"/>
        </w:rPr>
        <w:t>koronawirusa</w:t>
      </w:r>
      <w:proofErr w:type="spellEnd"/>
      <w:r w:rsidRPr="00251753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na branżę</w:t>
      </w:r>
    </w:p>
    <w:p w14:paraId="10B36E1D" w14:textId="5C7FF7DD" w:rsidR="00A63F8E" w:rsidRDefault="00A63F8E" w:rsidP="00670725">
      <w:pPr>
        <w:jc w:val="both"/>
        <w:rPr>
          <w:rFonts w:asciiTheme="minorHAnsi" w:hAnsiTheme="minorHAnsi" w:cstheme="minorHAnsi"/>
          <w:sz w:val="20"/>
          <w:szCs w:val="20"/>
        </w:rPr>
      </w:pPr>
      <w:r w:rsidRPr="00A63F8E">
        <w:rPr>
          <w:rFonts w:asciiTheme="minorHAnsi" w:eastAsia="Arial" w:hAnsiTheme="minorHAnsi" w:cstheme="minorHAnsi"/>
          <w:sz w:val="20"/>
          <w:szCs w:val="20"/>
        </w:rPr>
        <w:t>Prognozy dotyczące tempa rozwoju gospodarek na całym świecie zostały skorygowane w dół, także te dotyczące rozwoju rynku oświetleniowego. Spadły one o 21% w stosunku do prognoz sprzed pandemii. Przewidywane tempo wzrostu rynku inteligentnego oświetlenia LED w latach 2020-2025 ma wynieść 18 proc. CAGR, a wartość rynku w</w:t>
      </w:r>
      <w:r w:rsidR="00670725">
        <w:rPr>
          <w:rFonts w:asciiTheme="minorHAnsi" w:eastAsia="Arial" w:hAnsiTheme="minorHAnsi" w:cstheme="minorHAnsi"/>
          <w:sz w:val="20"/>
          <w:szCs w:val="20"/>
        </w:rPr>
        <w:t> </w:t>
      </w:r>
      <w:r w:rsidRPr="00A63F8E">
        <w:rPr>
          <w:rFonts w:asciiTheme="minorHAnsi" w:eastAsia="Arial" w:hAnsiTheme="minorHAnsi" w:cstheme="minorHAnsi"/>
          <w:sz w:val="20"/>
          <w:szCs w:val="20"/>
        </w:rPr>
        <w:t>2025 roku jest szacowana na poziomie 30,6 mld USD.</w:t>
      </w:r>
      <w:r w:rsidRPr="00A63F8E">
        <w:rPr>
          <w:rStyle w:val="Odwoanieprzypisudolnego"/>
          <w:rFonts w:asciiTheme="minorHAnsi" w:eastAsia="Arial" w:hAnsiTheme="minorHAnsi" w:cstheme="minorHAnsi"/>
          <w:sz w:val="20"/>
          <w:szCs w:val="20"/>
        </w:rPr>
        <w:footnoteReference w:id="1"/>
      </w:r>
      <w:r w:rsidRPr="00A63F8E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A63F8E">
        <w:rPr>
          <w:rFonts w:asciiTheme="minorHAnsi" w:hAnsiTheme="minorHAnsi" w:cstheme="minorHAnsi"/>
          <w:sz w:val="20"/>
          <w:szCs w:val="20"/>
        </w:rPr>
        <w:t xml:space="preserve">Rozwijającym się trendem jest wzrost popytu na źródła światła i oprawy oświetleniowe UV-C, które skutecznie dezynfekują pomieszczenia. </w:t>
      </w:r>
      <w:r w:rsidR="00251753">
        <w:rPr>
          <w:rFonts w:asciiTheme="minorHAnsi" w:hAnsiTheme="minorHAnsi" w:cstheme="minorHAnsi"/>
          <w:sz w:val="20"/>
          <w:szCs w:val="20"/>
        </w:rPr>
        <w:t>Cena opraw oświetleniowych na przestrzeni roku wzrosła o 2,</w:t>
      </w:r>
      <w:r w:rsidR="00577BF5">
        <w:rPr>
          <w:rFonts w:asciiTheme="minorHAnsi" w:hAnsiTheme="minorHAnsi" w:cstheme="minorHAnsi"/>
          <w:sz w:val="20"/>
          <w:szCs w:val="20"/>
        </w:rPr>
        <w:t>3</w:t>
      </w:r>
      <w:r w:rsidR="00251753">
        <w:rPr>
          <w:rFonts w:asciiTheme="minorHAnsi" w:hAnsiTheme="minorHAnsi" w:cstheme="minorHAnsi"/>
          <w:sz w:val="20"/>
          <w:szCs w:val="20"/>
        </w:rPr>
        <w:t>%</w:t>
      </w:r>
      <w:r w:rsidR="0025175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51753">
        <w:rPr>
          <w:rFonts w:asciiTheme="minorHAnsi" w:hAnsiTheme="minorHAnsi" w:cstheme="minorHAnsi"/>
          <w:sz w:val="20"/>
          <w:szCs w:val="20"/>
        </w:rPr>
        <w:t>.</w:t>
      </w:r>
    </w:p>
    <w:p w14:paraId="54202A98" w14:textId="2463C31D" w:rsidR="00A63F8E" w:rsidRDefault="00A63F8E" w:rsidP="00A63F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40E7F5" w14:textId="424B67AA" w:rsidR="00251753" w:rsidRPr="00251753" w:rsidRDefault="00251753" w:rsidP="00A63F8E">
      <w:pPr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251753">
        <w:rPr>
          <w:rFonts w:asciiTheme="minorHAnsi" w:hAnsiTheme="minorHAnsi" w:cstheme="minorHAnsi"/>
          <w:b/>
          <w:bCs/>
          <w:color w:val="C00000"/>
          <w:sz w:val="20"/>
          <w:szCs w:val="20"/>
        </w:rPr>
        <w:t>Aktualna koniunktura i prognozy</w:t>
      </w:r>
    </w:p>
    <w:p w14:paraId="5E06DB27" w14:textId="42DC248D" w:rsidR="00A63F8E" w:rsidRPr="00452CAC" w:rsidRDefault="00A63F8E" w:rsidP="00A63F8E">
      <w:pPr>
        <w:jc w:val="both"/>
        <w:rPr>
          <w:rFonts w:asciiTheme="minorHAnsi" w:hAnsiTheme="minorHAnsi" w:cstheme="minorHAnsi"/>
          <w:sz w:val="20"/>
          <w:szCs w:val="20"/>
        </w:rPr>
      </w:pPr>
      <w:r w:rsidRPr="00452CAC">
        <w:rPr>
          <w:rFonts w:asciiTheme="minorHAnsi" w:hAnsiTheme="minorHAnsi" w:cstheme="minorHAnsi"/>
          <w:sz w:val="20"/>
          <w:szCs w:val="20"/>
        </w:rPr>
        <w:t>Wskaźnik koniunktury w budownictwie</w:t>
      </w:r>
      <w:r w:rsidRPr="00452CAC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452CA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opublikowany przez Główny Urząd Statystyczny</w:t>
      </w:r>
      <w:r w:rsidRPr="00452CAC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w połowie roku wskazywał </w:t>
      </w:r>
      <w:r w:rsidRPr="00452CAC">
        <w:rPr>
          <w:rFonts w:asciiTheme="minorHAnsi" w:hAnsiTheme="minorHAnsi" w:cstheme="minorHAnsi"/>
          <w:sz w:val="20"/>
          <w:szCs w:val="20"/>
        </w:rPr>
        <w:t>głębok</w:t>
      </w:r>
      <w:r>
        <w:rPr>
          <w:rFonts w:asciiTheme="minorHAnsi" w:hAnsiTheme="minorHAnsi" w:cstheme="minorHAnsi"/>
          <w:sz w:val="20"/>
          <w:szCs w:val="20"/>
        </w:rPr>
        <w:t xml:space="preserve">ie </w:t>
      </w:r>
      <w:r w:rsidRPr="00452CAC">
        <w:rPr>
          <w:rFonts w:asciiTheme="minorHAnsi" w:hAnsiTheme="minorHAnsi" w:cstheme="minorHAnsi"/>
          <w:sz w:val="20"/>
          <w:szCs w:val="20"/>
        </w:rPr>
        <w:t>spadk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452CAC">
        <w:rPr>
          <w:rFonts w:asciiTheme="minorHAnsi" w:hAnsiTheme="minorHAnsi" w:cstheme="minorHAnsi"/>
          <w:sz w:val="20"/>
          <w:szCs w:val="20"/>
        </w:rPr>
        <w:t xml:space="preserve"> wiosną 2020 r</w:t>
      </w:r>
      <w:r>
        <w:rPr>
          <w:rFonts w:asciiTheme="minorHAnsi" w:hAnsiTheme="minorHAnsi" w:cstheme="minorHAnsi"/>
          <w:sz w:val="20"/>
          <w:szCs w:val="20"/>
        </w:rPr>
        <w:t xml:space="preserve"> i lekkie odbicia w poszczególnych miesiącach roku.</w:t>
      </w:r>
      <w:r w:rsidRPr="00452CA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Nowe prognozy są bardziej optymistyczne. </w:t>
      </w:r>
      <w:r w:rsidRPr="00452CAC">
        <w:rPr>
          <w:rFonts w:asciiTheme="minorHAnsi" w:hAnsiTheme="minorHAnsi" w:cstheme="minorHAnsi"/>
          <w:sz w:val="20"/>
          <w:szCs w:val="20"/>
        </w:rPr>
        <w:t xml:space="preserve">Przewidywania badanych przez GUS przedsiębiorców z branży budowlanej w styczniu 2021 r. </w:t>
      </w:r>
      <w:r>
        <w:rPr>
          <w:rFonts w:asciiTheme="minorHAnsi" w:hAnsiTheme="minorHAnsi" w:cstheme="minorHAnsi"/>
          <w:sz w:val="20"/>
          <w:szCs w:val="20"/>
        </w:rPr>
        <w:t>są</w:t>
      </w:r>
      <w:r w:rsidR="00670725">
        <w:rPr>
          <w:rFonts w:asciiTheme="minorHAnsi" w:hAnsiTheme="minorHAnsi" w:cstheme="minorHAnsi"/>
          <w:sz w:val="20"/>
          <w:szCs w:val="20"/>
        </w:rPr>
        <w:t> </w:t>
      </w:r>
      <w:r w:rsidRPr="00452CAC">
        <w:rPr>
          <w:rFonts w:asciiTheme="minorHAnsi" w:hAnsiTheme="minorHAnsi" w:cstheme="minorHAnsi"/>
          <w:sz w:val="20"/>
          <w:szCs w:val="20"/>
        </w:rPr>
        <w:t>mniej pesymistyczne niż w grudniu</w:t>
      </w:r>
      <w:r w:rsidRPr="00452CAC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4"/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251753">
        <w:rPr>
          <w:rFonts w:asciiTheme="minorHAnsi" w:hAnsiTheme="minorHAnsi" w:cstheme="minorHAnsi"/>
          <w:sz w:val="20"/>
          <w:szCs w:val="20"/>
        </w:rPr>
        <w:t>S</w:t>
      </w:r>
      <w:r w:rsidR="00251753" w:rsidRPr="00452CAC">
        <w:rPr>
          <w:rFonts w:asciiTheme="minorHAnsi" w:hAnsiTheme="minorHAnsi" w:cstheme="minorHAnsi"/>
          <w:sz w:val="20"/>
          <w:szCs w:val="20"/>
        </w:rPr>
        <w:t>podziewa</w:t>
      </w:r>
      <w:r w:rsidR="00251753">
        <w:rPr>
          <w:rFonts w:asciiTheme="minorHAnsi" w:hAnsiTheme="minorHAnsi" w:cstheme="minorHAnsi"/>
          <w:sz w:val="20"/>
          <w:szCs w:val="20"/>
        </w:rPr>
        <w:t>ją się</w:t>
      </w:r>
      <w:r w:rsidR="00251753" w:rsidRPr="00452CAC">
        <w:rPr>
          <w:rFonts w:asciiTheme="minorHAnsi" w:hAnsiTheme="minorHAnsi" w:cstheme="minorHAnsi"/>
          <w:sz w:val="20"/>
          <w:szCs w:val="20"/>
        </w:rPr>
        <w:t xml:space="preserve"> </w:t>
      </w:r>
      <w:r w:rsidR="00251753">
        <w:rPr>
          <w:rFonts w:asciiTheme="minorHAnsi" w:hAnsiTheme="minorHAnsi" w:cstheme="minorHAnsi"/>
          <w:sz w:val="20"/>
          <w:szCs w:val="20"/>
        </w:rPr>
        <w:t xml:space="preserve">oni </w:t>
      </w:r>
      <w:r w:rsidR="00251753" w:rsidRPr="00452CAC">
        <w:rPr>
          <w:rFonts w:asciiTheme="minorHAnsi" w:hAnsiTheme="minorHAnsi" w:cstheme="minorHAnsi"/>
          <w:sz w:val="20"/>
          <w:szCs w:val="20"/>
        </w:rPr>
        <w:t>wzrost</w:t>
      </w:r>
      <w:r w:rsidR="00251753">
        <w:rPr>
          <w:rFonts w:asciiTheme="minorHAnsi" w:hAnsiTheme="minorHAnsi" w:cstheme="minorHAnsi"/>
          <w:sz w:val="20"/>
          <w:szCs w:val="20"/>
        </w:rPr>
        <w:t>u</w:t>
      </w:r>
      <w:r w:rsidR="00251753" w:rsidRPr="00452CAC">
        <w:rPr>
          <w:rFonts w:asciiTheme="minorHAnsi" w:hAnsiTheme="minorHAnsi" w:cstheme="minorHAnsi"/>
          <w:sz w:val="20"/>
          <w:szCs w:val="20"/>
        </w:rPr>
        <w:t xml:space="preserve"> cen usług w</w:t>
      </w:r>
      <w:r w:rsidR="00251753">
        <w:rPr>
          <w:rFonts w:asciiTheme="minorHAnsi" w:hAnsiTheme="minorHAnsi" w:cstheme="minorHAnsi"/>
          <w:sz w:val="20"/>
          <w:szCs w:val="20"/>
        </w:rPr>
        <w:t xml:space="preserve"> kolejnych </w:t>
      </w:r>
      <w:r w:rsidR="00251753" w:rsidRPr="00452CAC">
        <w:rPr>
          <w:rFonts w:asciiTheme="minorHAnsi" w:hAnsiTheme="minorHAnsi" w:cstheme="minorHAnsi"/>
          <w:sz w:val="20"/>
          <w:szCs w:val="20"/>
        </w:rPr>
        <w:t xml:space="preserve">miesiącach </w:t>
      </w:r>
      <w:r w:rsidR="00251753">
        <w:rPr>
          <w:rFonts w:asciiTheme="minorHAnsi" w:hAnsiTheme="minorHAnsi" w:cstheme="minorHAnsi"/>
          <w:sz w:val="20"/>
          <w:szCs w:val="20"/>
        </w:rPr>
        <w:t>roku. Chociaż n</w:t>
      </w:r>
      <w:r w:rsidRPr="00452CAC">
        <w:rPr>
          <w:rFonts w:asciiTheme="minorHAnsi" w:hAnsiTheme="minorHAnsi" w:cstheme="minorHAnsi"/>
          <w:sz w:val="20"/>
          <w:szCs w:val="20"/>
        </w:rPr>
        <w:t xml:space="preserve">adal </w:t>
      </w:r>
      <w:r w:rsidR="00251753">
        <w:rPr>
          <w:rFonts w:asciiTheme="minorHAnsi" w:hAnsiTheme="minorHAnsi" w:cstheme="minorHAnsi"/>
          <w:sz w:val="20"/>
          <w:szCs w:val="20"/>
        </w:rPr>
        <w:t>obawiają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2CAC">
        <w:rPr>
          <w:rFonts w:asciiTheme="minorHAnsi" w:hAnsiTheme="minorHAnsi" w:cstheme="minorHAnsi"/>
          <w:sz w:val="20"/>
          <w:szCs w:val="20"/>
        </w:rPr>
        <w:t>wydłużeni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52CAC">
        <w:rPr>
          <w:rFonts w:asciiTheme="minorHAnsi" w:hAnsiTheme="minorHAnsi" w:cstheme="minorHAnsi"/>
          <w:sz w:val="20"/>
          <w:szCs w:val="20"/>
        </w:rPr>
        <w:t xml:space="preserve"> opóźnień płatności za wykonane roboty budowlano-montażowe.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2CAC">
        <w:rPr>
          <w:rFonts w:asciiTheme="minorHAnsi" w:hAnsiTheme="minorHAnsi" w:cstheme="minorHAnsi"/>
          <w:sz w:val="20"/>
          <w:szCs w:val="20"/>
        </w:rPr>
        <w:t>Pozytywny sygnał</w:t>
      </w:r>
      <w:r>
        <w:rPr>
          <w:rFonts w:asciiTheme="minorHAnsi" w:hAnsiTheme="minorHAnsi" w:cstheme="minorHAnsi"/>
          <w:sz w:val="20"/>
          <w:szCs w:val="20"/>
        </w:rPr>
        <w:t>em dla branży jest</w:t>
      </w:r>
      <w:r w:rsidRPr="00452CAC">
        <w:rPr>
          <w:rFonts w:asciiTheme="minorHAnsi" w:hAnsiTheme="minorHAnsi" w:cstheme="minorHAnsi"/>
          <w:sz w:val="20"/>
          <w:szCs w:val="20"/>
        </w:rPr>
        <w:t xml:space="preserve"> podtrzymani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52CAC">
        <w:rPr>
          <w:rFonts w:asciiTheme="minorHAnsi" w:hAnsiTheme="minorHAnsi" w:cstheme="minorHAnsi"/>
          <w:sz w:val="20"/>
          <w:szCs w:val="20"/>
        </w:rPr>
        <w:t xml:space="preserve"> planów inwestycyjnych </w:t>
      </w:r>
      <w:r>
        <w:rPr>
          <w:rFonts w:asciiTheme="minorHAnsi" w:hAnsiTheme="minorHAnsi" w:cstheme="minorHAnsi"/>
          <w:sz w:val="20"/>
          <w:szCs w:val="20"/>
        </w:rPr>
        <w:t xml:space="preserve">ogłoszonych </w:t>
      </w:r>
      <w:r w:rsidRPr="00452CAC">
        <w:rPr>
          <w:rFonts w:asciiTheme="minorHAnsi" w:hAnsiTheme="minorHAnsi" w:cstheme="minorHAnsi"/>
          <w:sz w:val="20"/>
          <w:szCs w:val="20"/>
        </w:rPr>
        <w:t>przez Generalną Dyrekcję Dróg Krajowych i Autostrad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A33D543" w14:textId="77777777" w:rsidR="00A63F8E" w:rsidRPr="00A63F8E" w:rsidRDefault="00A63F8E" w:rsidP="00A63F8E">
      <w:pPr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6A50BB86" w14:textId="45708C5B" w:rsidR="0083635B" w:rsidRDefault="00577BF5" w:rsidP="00452CAC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Plany na kolejne miesiące</w:t>
      </w:r>
    </w:p>
    <w:p w14:paraId="2B9B71F5" w14:textId="65714F53" w:rsidR="00577BF5" w:rsidRPr="00577BF5" w:rsidRDefault="00577BF5" w:rsidP="00577BF5">
      <w:pPr>
        <w:jc w:val="both"/>
        <w:rPr>
          <w:rFonts w:asciiTheme="minorHAnsi" w:hAnsiTheme="minorHAnsi" w:cstheme="minorHAnsi"/>
          <w:sz w:val="20"/>
          <w:szCs w:val="20"/>
        </w:rPr>
      </w:pPr>
      <w:r w:rsidRPr="00577BF5">
        <w:rPr>
          <w:rFonts w:asciiTheme="minorHAnsi" w:hAnsiTheme="minorHAnsi" w:cstheme="minorHAnsi"/>
          <w:sz w:val="20"/>
          <w:szCs w:val="20"/>
        </w:rPr>
        <w:t xml:space="preserve">W kolejnych kwartałach </w:t>
      </w:r>
      <w:r>
        <w:rPr>
          <w:rFonts w:asciiTheme="minorHAnsi" w:hAnsiTheme="minorHAnsi" w:cstheme="minorHAnsi"/>
          <w:sz w:val="20"/>
          <w:szCs w:val="20"/>
        </w:rPr>
        <w:t xml:space="preserve">2021 roku </w:t>
      </w:r>
      <w:r w:rsidRPr="00577BF5">
        <w:rPr>
          <w:rFonts w:asciiTheme="minorHAnsi" w:hAnsiTheme="minorHAnsi" w:cstheme="minorHAnsi"/>
          <w:sz w:val="20"/>
          <w:szCs w:val="20"/>
        </w:rPr>
        <w:t xml:space="preserve">LUG będzie skupiał się </w:t>
      </w:r>
      <w:r>
        <w:rPr>
          <w:rFonts w:asciiTheme="minorHAnsi" w:hAnsiTheme="minorHAnsi" w:cstheme="minorHAnsi"/>
          <w:sz w:val="20"/>
          <w:szCs w:val="20"/>
        </w:rPr>
        <w:t>na realizacji ważnych projektów. Pierwszym z nich będzie zaprojektowanie 2 zupełnie nowych opraw, które w łącznej ilości blisko 40 tys. sztuk zostaną dostarczone na</w:t>
      </w:r>
      <w:r w:rsidR="00670725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inwestycję wymiany oświetlenia, która w latach 2021-2022 będzie realizowana w stolicy Polski. Drugi projekt o</w:t>
      </w:r>
      <w:r w:rsidR="00670725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odmiennym charakterze to realizacja planu inwestycyjnego o wartości 7,1 mln zł w ramach rozbudowy zakładu  Grupy Kapitałowej LUG S.A. w Nowym Kisielinie k. Zielonej Góry. To reakcja LUG na długookresowe potrzeby rozwoju w zakresie R&amp;D i rozbudowy portfolio produktów, gospodarki magazynowej i dodatkowej przestrzeni produkcyjnej. Ponadto LUG bada możliwości ekspansji zagranicznej na rynku marokańskim. </w:t>
      </w:r>
    </w:p>
    <w:p w14:paraId="5F1B57AE" w14:textId="7E97F82A" w:rsidR="0083635B" w:rsidRDefault="0083635B" w:rsidP="00577BF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185E38" w14:textId="77777777" w:rsidR="006B36F2" w:rsidRPr="00452CAC" w:rsidRDefault="006B36F2" w:rsidP="00577BF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5DB586" w14:textId="77777777" w:rsidR="00A0186C" w:rsidRPr="00452CAC" w:rsidRDefault="00A0186C" w:rsidP="00452CAC">
      <w:pPr>
        <w:jc w:val="center"/>
        <w:rPr>
          <w:rFonts w:asciiTheme="minorHAnsi" w:hAnsiTheme="minorHAnsi" w:cstheme="minorHAnsi"/>
          <w:sz w:val="20"/>
          <w:szCs w:val="20"/>
        </w:rPr>
      </w:pPr>
      <w:r w:rsidRPr="00452CAC">
        <w:rPr>
          <w:rFonts w:asciiTheme="minorHAnsi" w:hAnsiTheme="minorHAnsi" w:cstheme="minorHAnsi"/>
          <w:sz w:val="20"/>
          <w:szCs w:val="20"/>
        </w:rPr>
        <w:t>***</w:t>
      </w:r>
    </w:p>
    <w:p w14:paraId="7509A267" w14:textId="77777777" w:rsidR="00A0186C" w:rsidRPr="00452CAC" w:rsidRDefault="00A0186C" w:rsidP="00452CA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A849A0" w14:textId="1F5603B2" w:rsidR="00A0186C" w:rsidRPr="00452CAC" w:rsidRDefault="00A0186C" w:rsidP="00452CAC">
      <w:pPr>
        <w:jc w:val="both"/>
        <w:rPr>
          <w:rFonts w:asciiTheme="minorHAnsi" w:hAnsiTheme="minorHAnsi" w:cstheme="minorHAnsi"/>
          <w:sz w:val="20"/>
          <w:szCs w:val="20"/>
        </w:rPr>
      </w:pPr>
      <w:r w:rsidRPr="00452CAC">
        <w:rPr>
          <w:rFonts w:asciiTheme="minorHAnsi" w:hAnsiTheme="minorHAnsi" w:cstheme="minorHAnsi"/>
          <w:sz w:val="20"/>
          <w:szCs w:val="20"/>
        </w:rPr>
        <w:t xml:space="preserve">LUG S.A. to spółka holdingowa Grupy Kapitałowej LUG S.A. – jednego z czołowych europejskich producentów profesjonalnych rozwiązań oświetleniowych. Grupa sprzedaje swoje produkty w Polsce oraz w kilkudziesięciu krajach na całym świecie. Posiadająca </w:t>
      </w:r>
      <w:r w:rsidR="00BA78D2" w:rsidRPr="00452CAC">
        <w:rPr>
          <w:rFonts w:asciiTheme="minorHAnsi" w:hAnsiTheme="minorHAnsi" w:cstheme="minorHAnsi"/>
          <w:sz w:val="20"/>
          <w:szCs w:val="20"/>
        </w:rPr>
        <w:t xml:space="preserve">ponad </w:t>
      </w:r>
      <w:r w:rsidRPr="00452CAC">
        <w:rPr>
          <w:rFonts w:asciiTheme="minorHAnsi" w:hAnsiTheme="minorHAnsi" w:cstheme="minorHAnsi"/>
          <w:sz w:val="20"/>
          <w:szCs w:val="20"/>
        </w:rPr>
        <w:t xml:space="preserve">30 lat doświadczenia firma z siedzibą w Zielonej Górze, od 2008 roku funkcjonuje jako Grupa Kapitałowa. W jej skład wchodzą: LUG S.A., LUG </w:t>
      </w:r>
      <w:proofErr w:type="spellStart"/>
      <w:r w:rsidRPr="00452CAC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452C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52CAC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Pr="00452CAC">
        <w:rPr>
          <w:rFonts w:asciiTheme="minorHAnsi" w:hAnsiTheme="minorHAnsi" w:cstheme="minorHAnsi"/>
          <w:sz w:val="20"/>
          <w:szCs w:val="20"/>
        </w:rPr>
        <w:t xml:space="preserve"> Sp. z o.o., LUG GmbH, LUG</w:t>
      </w:r>
      <w:r w:rsidR="009457B5" w:rsidRPr="00452CAC">
        <w:rPr>
          <w:rFonts w:asciiTheme="minorHAnsi" w:hAnsiTheme="minorHAnsi" w:cstheme="minorHAnsi"/>
          <w:sz w:val="20"/>
          <w:szCs w:val="20"/>
        </w:rPr>
        <w:t> </w:t>
      </w:r>
      <w:r w:rsidRPr="00452CAC">
        <w:rPr>
          <w:rFonts w:asciiTheme="minorHAnsi" w:hAnsiTheme="minorHAnsi" w:cstheme="minorHAnsi"/>
          <w:sz w:val="20"/>
          <w:szCs w:val="20"/>
        </w:rPr>
        <w:t>do</w:t>
      </w:r>
      <w:r w:rsidR="009457B5" w:rsidRPr="00452CAC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452CAC">
        <w:rPr>
          <w:rFonts w:asciiTheme="minorHAnsi" w:hAnsiTheme="minorHAnsi" w:cstheme="minorHAnsi"/>
          <w:sz w:val="20"/>
          <w:szCs w:val="20"/>
        </w:rPr>
        <w:t>Brasil</w:t>
      </w:r>
      <w:proofErr w:type="spellEnd"/>
      <w:r w:rsidRPr="00452CA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52CAC">
        <w:rPr>
          <w:rFonts w:asciiTheme="minorHAnsi" w:hAnsiTheme="minorHAnsi" w:cstheme="minorHAnsi"/>
          <w:sz w:val="20"/>
          <w:szCs w:val="20"/>
        </w:rPr>
        <w:t>Ltda</w:t>
      </w:r>
      <w:proofErr w:type="spellEnd"/>
      <w:r w:rsidRPr="00452CAC">
        <w:rPr>
          <w:rFonts w:asciiTheme="minorHAnsi" w:hAnsiTheme="minorHAnsi" w:cstheme="minorHAnsi"/>
          <w:sz w:val="20"/>
          <w:szCs w:val="20"/>
        </w:rPr>
        <w:t xml:space="preserve">, LUG </w:t>
      </w:r>
      <w:proofErr w:type="spellStart"/>
      <w:r w:rsidRPr="00452CAC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452CAC">
        <w:rPr>
          <w:rFonts w:asciiTheme="minorHAnsi" w:hAnsiTheme="minorHAnsi" w:cstheme="minorHAnsi"/>
          <w:sz w:val="20"/>
          <w:szCs w:val="20"/>
        </w:rPr>
        <w:t xml:space="preserve"> UK Ltd., TOW LUG Ukraina, BIOT Sp. z o.o., LUG </w:t>
      </w:r>
      <w:proofErr w:type="spellStart"/>
      <w:r w:rsidRPr="00452CAC">
        <w:rPr>
          <w:rFonts w:asciiTheme="minorHAnsi" w:hAnsiTheme="minorHAnsi" w:cstheme="minorHAnsi"/>
          <w:sz w:val="20"/>
          <w:szCs w:val="20"/>
        </w:rPr>
        <w:t>Argentina</w:t>
      </w:r>
      <w:proofErr w:type="spellEnd"/>
      <w:r w:rsidRPr="00452CAC">
        <w:rPr>
          <w:rFonts w:asciiTheme="minorHAnsi" w:hAnsiTheme="minorHAnsi" w:cstheme="minorHAnsi"/>
          <w:sz w:val="20"/>
          <w:szCs w:val="20"/>
        </w:rPr>
        <w:t xml:space="preserve"> S.A.</w:t>
      </w:r>
      <w:r w:rsidR="002B3947" w:rsidRPr="00452CAC">
        <w:rPr>
          <w:rFonts w:asciiTheme="minorHAnsi" w:hAnsiTheme="minorHAnsi" w:cstheme="minorHAnsi"/>
          <w:sz w:val="20"/>
          <w:szCs w:val="20"/>
        </w:rPr>
        <w:t xml:space="preserve">, </w:t>
      </w:r>
      <w:r w:rsidRPr="00452CAC">
        <w:rPr>
          <w:rFonts w:asciiTheme="minorHAnsi" w:hAnsiTheme="minorHAnsi" w:cstheme="minorHAnsi"/>
          <w:sz w:val="20"/>
          <w:szCs w:val="20"/>
        </w:rPr>
        <w:t>LUG Turkey</w:t>
      </w:r>
      <w:r w:rsidR="009457B5" w:rsidRPr="00452CAC">
        <w:rPr>
          <w:rFonts w:asciiTheme="minorHAnsi" w:hAnsiTheme="minorHAnsi" w:cstheme="minorHAnsi"/>
          <w:sz w:val="20"/>
          <w:szCs w:val="20"/>
        </w:rPr>
        <w:t>, LUG Services Sp. z o.o., ESCOLIGHT Sp. z o.o.</w:t>
      </w:r>
      <w:r w:rsidR="002B3947" w:rsidRPr="00452CAC">
        <w:rPr>
          <w:rFonts w:asciiTheme="minorHAnsi" w:hAnsiTheme="minorHAnsi" w:cstheme="minorHAnsi"/>
          <w:sz w:val="20"/>
          <w:szCs w:val="20"/>
        </w:rPr>
        <w:t xml:space="preserve"> oraz LUG West </w:t>
      </w:r>
      <w:proofErr w:type="spellStart"/>
      <w:r w:rsidR="002B3947" w:rsidRPr="00452CAC">
        <w:rPr>
          <w:rFonts w:asciiTheme="minorHAnsi" w:hAnsiTheme="minorHAnsi" w:cstheme="minorHAnsi"/>
          <w:sz w:val="20"/>
          <w:szCs w:val="20"/>
        </w:rPr>
        <w:t>Africa</w:t>
      </w:r>
      <w:proofErr w:type="spellEnd"/>
      <w:r w:rsidR="002B3947" w:rsidRPr="00452CAC">
        <w:rPr>
          <w:rFonts w:asciiTheme="minorHAnsi" w:hAnsiTheme="minorHAnsi" w:cstheme="minorHAnsi"/>
          <w:sz w:val="20"/>
          <w:szCs w:val="20"/>
        </w:rPr>
        <w:t xml:space="preserve"> Ltd</w:t>
      </w:r>
      <w:r w:rsidRPr="00452CAC">
        <w:rPr>
          <w:rFonts w:asciiTheme="minorHAnsi" w:hAnsiTheme="minorHAnsi" w:cstheme="minorHAnsi"/>
          <w:sz w:val="20"/>
          <w:szCs w:val="20"/>
        </w:rPr>
        <w:t>. LUG S.A. od listopada 2007 roku jest</w:t>
      </w:r>
      <w:r w:rsidR="009457B5" w:rsidRPr="00452CAC">
        <w:rPr>
          <w:rFonts w:asciiTheme="minorHAnsi" w:hAnsiTheme="minorHAnsi" w:cstheme="minorHAnsi"/>
          <w:sz w:val="20"/>
          <w:szCs w:val="20"/>
        </w:rPr>
        <w:t> </w:t>
      </w:r>
      <w:r w:rsidRPr="00452CAC">
        <w:rPr>
          <w:rFonts w:asciiTheme="minorHAnsi" w:hAnsiTheme="minorHAnsi" w:cstheme="minorHAnsi"/>
          <w:sz w:val="20"/>
          <w:szCs w:val="20"/>
        </w:rPr>
        <w:t xml:space="preserve">notowana na rynku </w:t>
      </w:r>
      <w:proofErr w:type="spellStart"/>
      <w:r w:rsidRPr="00452CAC">
        <w:rPr>
          <w:rFonts w:asciiTheme="minorHAnsi" w:hAnsiTheme="minorHAnsi" w:cstheme="minorHAnsi"/>
          <w:sz w:val="20"/>
          <w:szCs w:val="20"/>
        </w:rPr>
        <w:t>NewConnect</w:t>
      </w:r>
      <w:proofErr w:type="spellEnd"/>
      <w:r w:rsidRPr="00452CAC">
        <w:rPr>
          <w:rFonts w:asciiTheme="minorHAnsi" w:hAnsiTheme="minorHAnsi" w:cstheme="minorHAnsi"/>
          <w:sz w:val="20"/>
          <w:szCs w:val="20"/>
        </w:rPr>
        <w:t xml:space="preserve"> zarządzanym przez warszawską GPW. Więcej informacji: </w:t>
      </w:r>
      <w:hyperlink r:id="rId8" w:history="1">
        <w:r w:rsidRPr="00452CAC">
          <w:rPr>
            <w:rStyle w:val="Hipercze"/>
            <w:rFonts w:asciiTheme="minorHAnsi" w:hAnsiTheme="minorHAnsi" w:cstheme="minorHAnsi"/>
            <w:sz w:val="20"/>
            <w:szCs w:val="20"/>
          </w:rPr>
          <w:t>www.lug.com.pl</w:t>
        </w:r>
      </w:hyperlink>
    </w:p>
    <w:p w14:paraId="34CDC561" w14:textId="65EFCD00" w:rsidR="00C201A7" w:rsidRPr="00452CAC" w:rsidRDefault="00C201A7" w:rsidP="00452CAC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985A08" w14:textId="77777777" w:rsidR="00C201A7" w:rsidRPr="00452CAC" w:rsidRDefault="00C201A7" w:rsidP="00452CAC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5F778" w14:textId="29A8EF7C" w:rsidR="00D45343" w:rsidRPr="00452CAC" w:rsidRDefault="00D45343" w:rsidP="00452CAC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52CAC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22D38007" w14:textId="77777777" w:rsidR="00D45343" w:rsidRPr="00452CAC" w:rsidRDefault="00D45343" w:rsidP="00452CAC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77777777" w:rsidR="00C201A7" w:rsidRPr="00452CAC" w:rsidRDefault="00D45343" w:rsidP="00452CAC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452CAC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C201A7" w:rsidRPr="00452CA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52CAC">
        <w:rPr>
          <w:rFonts w:asciiTheme="minorHAnsi" w:hAnsiTheme="minorHAnsi" w:cstheme="minorHAnsi"/>
          <w:sz w:val="20"/>
          <w:szCs w:val="20"/>
        </w:rPr>
        <w:t>Dyrektor Biura Zarządu i Komunikacj</w:t>
      </w:r>
      <w:r w:rsidR="00C201A7" w:rsidRPr="00452CAC">
        <w:rPr>
          <w:rFonts w:asciiTheme="minorHAnsi" w:hAnsiTheme="minorHAnsi" w:cstheme="minorHAnsi"/>
          <w:sz w:val="20"/>
          <w:szCs w:val="20"/>
        </w:rPr>
        <w:t xml:space="preserve">i, tel. </w:t>
      </w:r>
      <w:r w:rsidRPr="00452CAC">
        <w:rPr>
          <w:rFonts w:asciiTheme="minorHAnsi" w:hAnsiTheme="minorHAnsi" w:cstheme="minorHAnsi"/>
          <w:sz w:val="20"/>
          <w:szCs w:val="20"/>
        </w:rPr>
        <w:t>+48 510 183</w:t>
      </w:r>
      <w:r w:rsidR="00C201A7" w:rsidRPr="00452CAC">
        <w:rPr>
          <w:rFonts w:asciiTheme="minorHAnsi" w:hAnsiTheme="minorHAnsi" w:cstheme="minorHAnsi"/>
          <w:sz w:val="20"/>
          <w:szCs w:val="20"/>
        </w:rPr>
        <w:t> </w:t>
      </w:r>
      <w:r w:rsidRPr="00452CAC">
        <w:rPr>
          <w:rFonts w:asciiTheme="minorHAnsi" w:hAnsiTheme="minorHAnsi" w:cstheme="minorHAnsi"/>
          <w:sz w:val="20"/>
          <w:szCs w:val="20"/>
        </w:rPr>
        <w:t>993</w:t>
      </w:r>
      <w:r w:rsidR="00C201A7" w:rsidRPr="00452CAC">
        <w:rPr>
          <w:rFonts w:asciiTheme="minorHAnsi" w:hAnsiTheme="minorHAnsi" w:cstheme="minorHAnsi"/>
          <w:sz w:val="20"/>
          <w:szCs w:val="20"/>
        </w:rPr>
        <w:t>, e-mail:</w:t>
      </w:r>
      <w:r w:rsidRPr="00452CAC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="00C201A7" w:rsidRPr="00452CAC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6443D320" w14:textId="38479226" w:rsidR="00D45343" w:rsidRPr="00452CAC" w:rsidRDefault="00C201A7" w:rsidP="00452CAC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52CAC">
        <w:rPr>
          <w:rFonts w:asciiTheme="minorHAnsi" w:hAnsiTheme="minorHAnsi" w:cstheme="minorHAnsi"/>
          <w:b/>
          <w:bCs/>
          <w:sz w:val="20"/>
          <w:szCs w:val="20"/>
        </w:rPr>
        <w:t>Kamila Górczyńska</w:t>
      </w:r>
      <w:r w:rsidR="00273AB8" w:rsidRPr="00452CAC">
        <w:rPr>
          <w:rFonts w:asciiTheme="minorHAnsi" w:hAnsiTheme="minorHAnsi" w:cstheme="minorHAnsi"/>
          <w:b/>
          <w:bCs/>
          <w:sz w:val="20"/>
          <w:szCs w:val="20"/>
        </w:rPr>
        <w:t>-</w:t>
      </w:r>
      <w:proofErr w:type="spellStart"/>
      <w:r w:rsidR="00273AB8" w:rsidRPr="00452CAC">
        <w:rPr>
          <w:rFonts w:asciiTheme="minorHAnsi" w:hAnsiTheme="minorHAnsi" w:cstheme="minorHAnsi"/>
          <w:b/>
          <w:bCs/>
          <w:sz w:val="20"/>
          <w:szCs w:val="20"/>
        </w:rPr>
        <w:t>Żyżkowska</w:t>
      </w:r>
      <w:proofErr w:type="spellEnd"/>
      <w:r w:rsidRPr="00452CAC">
        <w:rPr>
          <w:rFonts w:asciiTheme="minorHAnsi" w:hAnsiTheme="minorHAnsi" w:cstheme="minorHAnsi"/>
          <w:sz w:val="20"/>
          <w:szCs w:val="20"/>
        </w:rPr>
        <w:t xml:space="preserve">, In </w:t>
      </w:r>
      <w:proofErr w:type="spellStart"/>
      <w:r w:rsidRPr="00452CAC">
        <w:rPr>
          <w:rFonts w:asciiTheme="minorHAnsi" w:hAnsiTheme="minorHAnsi" w:cstheme="minorHAnsi"/>
          <w:sz w:val="20"/>
          <w:szCs w:val="20"/>
        </w:rPr>
        <w:t>Touch</w:t>
      </w:r>
      <w:proofErr w:type="spellEnd"/>
      <w:r w:rsidRPr="00452CAC">
        <w:rPr>
          <w:rFonts w:asciiTheme="minorHAnsi" w:hAnsiTheme="minorHAnsi" w:cstheme="minorHAnsi"/>
          <w:sz w:val="20"/>
          <w:szCs w:val="20"/>
        </w:rPr>
        <w:t xml:space="preserve">, tel. </w:t>
      </w:r>
      <w:r w:rsidRPr="00452CAC">
        <w:rPr>
          <w:rFonts w:asciiTheme="minorHAnsi" w:hAnsiTheme="minorHAnsi" w:cstheme="minorHAnsi"/>
          <w:sz w:val="20"/>
          <w:szCs w:val="20"/>
          <w:lang w:val="fr-FR"/>
        </w:rPr>
        <w:t xml:space="preserve">+48 601 805 484, e-mail: </w:t>
      </w:r>
      <w:hyperlink r:id="rId10" w:history="1">
        <w:r w:rsidRPr="00452CAC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kamila.zyzkowska@intouchpr.pl</w:t>
        </w:r>
      </w:hyperlink>
      <w:r w:rsidR="00D45343" w:rsidRPr="00452CAC">
        <w:rPr>
          <w:rFonts w:asciiTheme="minorHAnsi" w:hAnsiTheme="minorHAnsi" w:cstheme="minorHAnsi"/>
          <w:sz w:val="20"/>
          <w:szCs w:val="20"/>
          <w:lang w:val="fr-FR"/>
        </w:rPr>
        <w:tab/>
      </w:r>
      <w:r w:rsidR="00D45343" w:rsidRPr="00452CAC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55F49D95" w14:textId="77777777" w:rsidR="002A2736" w:rsidRPr="00452CAC" w:rsidRDefault="002A2736" w:rsidP="00452CAC">
      <w:pPr>
        <w:rPr>
          <w:rFonts w:asciiTheme="minorHAnsi" w:hAnsiTheme="minorHAnsi" w:cstheme="minorHAnsi"/>
          <w:sz w:val="20"/>
          <w:szCs w:val="20"/>
          <w:lang w:val="fr-FR"/>
        </w:rPr>
      </w:pPr>
    </w:p>
    <w:sectPr w:rsidR="002A2736" w:rsidRPr="00452CAC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7872A" w14:textId="77777777" w:rsidR="00394089" w:rsidRDefault="00394089">
      <w:r>
        <w:separator/>
      </w:r>
    </w:p>
  </w:endnote>
  <w:endnote w:type="continuationSeparator" w:id="0">
    <w:p w14:paraId="0432DD69" w14:textId="77777777" w:rsidR="00394089" w:rsidRDefault="0039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F9F4" w14:textId="77777777" w:rsidR="00394089" w:rsidRDefault="00394089">
      <w:r>
        <w:separator/>
      </w:r>
    </w:p>
  </w:footnote>
  <w:footnote w:type="continuationSeparator" w:id="0">
    <w:p w14:paraId="6D9D01F3" w14:textId="77777777" w:rsidR="00394089" w:rsidRDefault="00394089">
      <w:r>
        <w:continuationSeparator/>
      </w:r>
    </w:p>
  </w:footnote>
  <w:footnote w:id="1">
    <w:p w14:paraId="4091F10C" w14:textId="4B5B13D1" w:rsidR="00A63F8E" w:rsidRPr="00251753" w:rsidRDefault="00A63F8E" w:rsidP="00A63F8E">
      <w:pPr>
        <w:pStyle w:val="Tekstprzypisudolneg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A63F8E">
        <w:rPr>
          <w:rStyle w:val="Odwoanieprzypisudolnego"/>
          <w:sz w:val="18"/>
          <w:szCs w:val="18"/>
        </w:rPr>
        <w:footnoteRef/>
      </w:r>
      <w:r w:rsidRPr="00A63F8E">
        <w:rPr>
          <w:sz w:val="18"/>
          <w:szCs w:val="18"/>
          <w:lang w:val="en-US"/>
        </w:rPr>
        <w:t xml:space="preserve"> </w:t>
      </w:r>
      <w:r w:rsidRPr="00A63F8E">
        <w:rPr>
          <w:rFonts w:ascii="Calibri" w:hAnsi="Calibri" w:cs="Calibri"/>
          <w:color w:val="000000"/>
          <w:sz w:val="18"/>
          <w:szCs w:val="18"/>
          <w:lang w:val="en-US"/>
        </w:rPr>
        <w:t xml:space="preserve">Investor Relation Presentation, </w:t>
      </w:r>
      <w:proofErr w:type="spellStart"/>
      <w:r w:rsidRPr="00A63F8E">
        <w:rPr>
          <w:rFonts w:ascii="Calibri" w:hAnsi="Calibri" w:cs="Calibri"/>
          <w:color w:val="000000"/>
          <w:sz w:val="18"/>
          <w:szCs w:val="18"/>
          <w:lang w:val="en-US"/>
        </w:rPr>
        <w:t>Annula</w:t>
      </w:r>
      <w:proofErr w:type="spellEnd"/>
      <w:r w:rsidRPr="00A63F8E">
        <w:rPr>
          <w:rFonts w:ascii="Calibri" w:hAnsi="Calibri" w:cs="Calibri"/>
          <w:color w:val="000000"/>
          <w:sz w:val="18"/>
          <w:szCs w:val="18"/>
          <w:lang w:val="en-US"/>
        </w:rPr>
        <w:t xml:space="preserve"> Report, Expert Interview and Markets and Markets Analysis".</w:t>
      </w:r>
    </w:p>
  </w:footnote>
  <w:footnote w:id="2">
    <w:p w14:paraId="358F482D" w14:textId="2CAA7869" w:rsidR="00251753" w:rsidRDefault="002517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Źród</w:t>
      </w:r>
      <w:r w:rsidRPr="00251753">
        <w:rPr>
          <w:rFonts w:ascii="Calibri" w:hAnsi="Calibri" w:cs="Calibri"/>
          <w:color w:val="000000"/>
          <w:sz w:val="18"/>
          <w:szCs w:val="18"/>
        </w:rPr>
        <w:t>ło: GUS, Ceny robót budowlano-montażowych w obiektów budowlanych (listopad 2020 r.)</w:t>
      </w:r>
    </w:p>
  </w:footnote>
  <w:footnote w:id="3">
    <w:p w14:paraId="48124A99" w14:textId="77777777" w:rsidR="00A63F8E" w:rsidRPr="00A63F8E" w:rsidRDefault="00A63F8E" w:rsidP="00A63F8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63F8E">
        <w:rPr>
          <w:rFonts w:asciiTheme="minorHAnsi" w:hAnsiTheme="minorHAnsi" w:cstheme="minorHAnsi"/>
          <w:sz w:val="18"/>
          <w:szCs w:val="18"/>
        </w:rPr>
        <w:t>Żródło</w:t>
      </w:r>
      <w:proofErr w:type="spellEnd"/>
      <w:r w:rsidRPr="00A63F8E">
        <w:rPr>
          <w:rFonts w:asciiTheme="minorHAnsi" w:hAnsiTheme="minorHAnsi" w:cstheme="minorHAnsi"/>
          <w:sz w:val="18"/>
          <w:szCs w:val="18"/>
        </w:rPr>
        <w:t>: GUS, Koniunktura w przetwórstwie przemysłowym, handlu i usługach 2000-2020 (styczeń 2021 r.)</w:t>
      </w:r>
    </w:p>
  </w:footnote>
  <w:footnote w:id="4">
    <w:p w14:paraId="00C4AAD9" w14:textId="22DA2A2A" w:rsidR="00A63F8E" w:rsidRDefault="00A63F8E" w:rsidP="00A63F8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63F8E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63F8E">
        <w:rPr>
          <w:rFonts w:asciiTheme="minorHAnsi" w:hAnsiTheme="minorHAnsi" w:cstheme="minorHAnsi"/>
          <w:sz w:val="18"/>
          <w:szCs w:val="18"/>
        </w:rPr>
        <w:t xml:space="preserve"> Źródło: GUS, Ceny robót budowlano-montażowych w obiektów budowlanych (listopad 2020 r.)</w:t>
      </w:r>
    </w:p>
    <w:p w14:paraId="269054D1" w14:textId="77777777" w:rsidR="00251753" w:rsidRPr="00A63F8E" w:rsidRDefault="00251753" w:rsidP="00A63F8E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5D0"/>
    <w:multiLevelType w:val="hybridMultilevel"/>
    <w:tmpl w:val="042422B4"/>
    <w:lvl w:ilvl="0" w:tplc="A6D257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2EDB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CFA5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879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6BED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EECD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8D37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8818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8DA0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5457"/>
    <w:multiLevelType w:val="hybridMultilevel"/>
    <w:tmpl w:val="CB9A815A"/>
    <w:lvl w:ilvl="0" w:tplc="D4FA03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2829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0BB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85E9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6CFB0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C151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AF99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438A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A80E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02004"/>
    <w:multiLevelType w:val="hybridMultilevel"/>
    <w:tmpl w:val="E22A1662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64A6"/>
    <w:multiLevelType w:val="hybridMultilevel"/>
    <w:tmpl w:val="F33A8410"/>
    <w:lvl w:ilvl="0" w:tplc="EEE8DA8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E539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8828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EC04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2E8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6D30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A1C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2A09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462D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C6347"/>
    <w:multiLevelType w:val="multilevel"/>
    <w:tmpl w:val="D3A8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E6278D"/>
    <w:multiLevelType w:val="hybridMultilevel"/>
    <w:tmpl w:val="118EF0B0"/>
    <w:lvl w:ilvl="0" w:tplc="2048B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49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A7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6C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2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C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EB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68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2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113F87"/>
    <w:multiLevelType w:val="multilevel"/>
    <w:tmpl w:val="CD54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41B4A"/>
    <w:multiLevelType w:val="hybridMultilevel"/>
    <w:tmpl w:val="30D6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17"/>
  </w:num>
  <w:num w:numId="5">
    <w:abstractNumId w:val="13"/>
  </w:num>
  <w:num w:numId="6">
    <w:abstractNumId w:val="14"/>
  </w:num>
  <w:num w:numId="7">
    <w:abstractNumId w:val="4"/>
  </w:num>
  <w:num w:numId="8">
    <w:abstractNumId w:val="25"/>
  </w:num>
  <w:num w:numId="9">
    <w:abstractNumId w:val="18"/>
  </w:num>
  <w:num w:numId="10">
    <w:abstractNumId w:val="6"/>
  </w:num>
  <w:num w:numId="11">
    <w:abstractNumId w:val="27"/>
  </w:num>
  <w:num w:numId="12">
    <w:abstractNumId w:val="16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23"/>
  </w:num>
  <w:num w:numId="18">
    <w:abstractNumId w:val="7"/>
  </w:num>
  <w:num w:numId="19">
    <w:abstractNumId w:val="22"/>
  </w:num>
  <w:num w:numId="20">
    <w:abstractNumId w:val="15"/>
  </w:num>
  <w:num w:numId="21">
    <w:abstractNumId w:val="9"/>
  </w:num>
  <w:num w:numId="22">
    <w:abstractNumId w:val="5"/>
  </w:num>
  <w:num w:numId="23">
    <w:abstractNumId w:val="11"/>
  </w:num>
  <w:num w:numId="24">
    <w:abstractNumId w:val="20"/>
  </w:num>
  <w:num w:numId="25">
    <w:abstractNumId w:val="3"/>
  </w:num>
  <w:num w:numId="26">
    <w:abstractNumId w:val="19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13146"/>
    <w:rsid w:val="0003379D"/>
    <w:rsid w:val="00041B56"/>
    <w:rsid w:val="00054F99"/>
    <w:rsid w:val="000559BD"/>
    <w:rsid w:val="00056C5A"/>
    <w:rsid w:val="000611A8"/>
    <w:rsid w:val="00064003"/>
    <w:rsid w:val="00067F71"/>
    <w:rsid w:val="00072A1C"/>
    <w:rsid w:val="00074DD0"/>
    <w:rsid w:val="000821FE"/>
    <w:rsid w:val="000844F9"/>
    <w:rsid w:val="00090935"/>
    <w:rsid w:val="0009278B"/>
    <w:rsid w:val="00094F3E"/>
    <w:rsid w:val="000A0439"/>
    <w:rsid w:val="000D23A8"/>
    <w:rsid w:val="000F5108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45140"/>
    <w:rsid w:val="00150D07"/>
    <w:rsid w:val="00161624"/>
    <w:rsid w:val="001646D1"/>
    <w:rsid w:val="0016558B"/>
    <w:rsid w:val="00170496"/>
    <w:rsid w:val="00173A9D"/>
    <w:rsid w:val="001776C6"/>
    <w:rsid w:val="00180BD6"/>
    <w:rsid w:val="001857FF"/>
    <w:rsid w:val="001942E2"/>
    <w:rsid w:val="001A67D8"/>
    <w:rsid w:val="001C033C"/>
    <w:rsid w:val="001C2687"/>
    <w:rsid w:val="001D57A4"/>
    <w:rsid w:val="001E0146"/>
    <w:rsid w:val="001E130C"/>
    <w:rsid w:val="001E6AC9"/>
    <w:rsid w:val="001F19AC"/>
    <w:rsid w:val="001F6867"/>
    <w:rsid w:val="00201493"/>
    <w:rsid w:val="00214312"/>
    <w:rsid w:val="00214C2B"/>
    <w:rsid w:val="00220A66"/>
    <w:rsid w:val="0024624B"/>
    <w:rsid w:val="00251753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A2736"/>
    <w:rsid w:val="002A4B7D"/>
    <w:rsid w:val="002B3947"/>
    <w:rsid w:val="002B7413"/>
    <w:rsid w:val="002C06E9"/>
    <w:rsid w:val="002C2136"/>
    <w:rsid w:val="002D4249"/>
    <w:rsid w:val="002D5E50"/>
    <w:rsid w:val="002D68B3"/>
    <w:rsid w:val="002D6FFB"/>
    <w:rsid w:val="002E46BF"/>
    <w:rsid w:val="002F6F45"/>
    <w:rsid w:val="00317439"/>
    <w:rsid w:val="00323A67"/>
    <w:rsid w:val="00332B11"/>
    <w:rsid w:val="00336495"/>
    <w:rsid w:val="00343D7F"/>
    <w:rsid w:val="00346839"/>
    <w:rsid w:val="0035449F"/>
    <w:rsid w:val="0036587D"/>
    <w:rsid w:val="00375386"/>
    <w:rsid w:val="00380DCC"/>
    <w:rsid w:val="00384B23"/>
    <w:rsid w:val="00385BCA"/>
    <w:rsid w:val="003867A6"/>
    <w:rsid w:val="0039083E"/>
    <w:rsid w:val="003924EA"/>
    <w:rsid w:val="00394089"/>
    <w:rsid w:val="00394C24"/>
    <w:rsid w:val="00396023"/>
    <w:rsid w:val="003B575E"/>
    <w:rsid w:val="004010D6"/>
    <w:rsid w:val="00406C90"/>
    <w:rsid w:val="00420541"/>
    <w:rsid w:val="00430886"/>
    <w:rsid w:val="004321B3"/>
    <w:rsid w:val="0043766E"/>
    <w:rsid w:val="00441DBD"/>
    <w:rsid w:val="00442935"/>
    <w:rsid w:val="00452CAC"/>
    <w:rsid w:val="00477560"/>
    <w:rsid w:val="00480DA5"/>
    <w:rsid w:val="004816EA"/>
    <w:rsid w:val="00492A53"/>
    <w:rsid w:val="004A0C31"/>
    <w:rsid w:val="004B562C"/>
    <w:rsid w:val="004B74DD"/>
    <w:rsid w:val="004C40D3"/>
    <w:rsid w:val="004C4931"/>
    <w:rsid w:val="004D54DF"/>
    <w:rsid w:val="004E6401"/>
    <w:rsid w:val="004F08BA"/>
    <w:rsid w:val="004F28D6"/>
    <w:rsid w:val="004F3CE3"/>
    <w:rsid w:val="00501B4A"/>
    <w:rsid w:val="00505C35"/>
    <w:rsid w:val="005114ED"/>
    <w:rsid w:val="00513052"/>
    <w:rsid w:val="0051325E"/>
    <w:rsid w:val="00531831"/>
    <w:rsid w:val="00544BF7"/>
    <w:rsid w:val="00553D0F"/>
    <w:rsid w:val="00553F98"/>
    <w:rsid w:val="00555941"/>
    <w:rsid w:val="00556C77"/>
    <w:rsid w:val="00566BBA"/>
    <w:rsid w:val="00570609"/>
    <w:rsid w:val="00574169"/>
    <w:rsid w:val="005754ED"/>
    <w:rsid w:val="00577BF5"/>
    <w:rsid w:val="00586E07"/>
    <w:rsid w:val="005926C6"/>
    <w:rsid w:val="005A16E4"/>
    <w:rsid w:val="005A3D71"/>
    <w:rsid w:val="005B1722"/>
    <w:rsid w:val="005C389E"/>
    <w:rsid w:val="005D2FC1"/>
    <w:rsid w:val="005E72EE"/>
    <w:rsid w:val="005E7A6A"/>
    <w:rsid w:val="005F1F2D"/>
    <w:rsid w:val="005F76FD"/>
    <w:rsid w:val="00600CF7"/>
    <w:rsid w:val="00603F87"/>
    <w:rsid w:val="00622426"/>
    <w:rsid w:val="006268D7"/>
    <w:rsid w:val="00642DB5"/>
    <w:rsid w:val="00653355"/>
    <w:rsid w:val="00655B2F"/>
    <w:rsid w:val="00657990"/>
    <w:rsid w:val="006628B0"/>
    <w:rsid w:val="00670725"/>
    <w:rsid w:val="00672866"/>
    <w:rsid w:val="006901B2"/>
    <w:rsid w:val="006945BC"/>
    <w:rsid w:val="006945E8"/>
    <w:rsid w:val="006A1FEB"/>
    <w:rsid w:val="006A44D3"/>
    <w:rsid w:val="006A7553"/>
    <w:rsid w:val="006B36F2"/>
    <w:rsid w:val="006B4788"/>
    <w:rsid w:val="006C0F43"/>
    <w:rsid w:val="006C2CB0"/>
    <w:rsid w:val="006D0543"/>
    <w:rsid w:val="006D1F0D"/>
    <w:rsid w:val="006E6939"/>
    <w:rsid w:val="006E792E"/>
    <w:rsid w:val="006E7A6D"/>
    <w:rsid w:val="006F20A7"/>
    <w:rsid w:val="006F4451"/>
    <w:rsid w:val="006F7818"/>
    <w:rsid w:val="0070619B"/>
    <w:rsid w:val="00711058"/>
    <w:rsid w:val="00732851"/>
    <w:rsid w:val="007366F5"/>
    <w:rsid w:val="007437B3"/>
    <w:rsid w:val="00746442"/>
    <w:rsid w:val="007518F1"/>
    <w:rsid w:val="007531E0"/>
    <w:rsid w:val="007636FB"/>
    <w:rsid w:val="00765FB2"/>
    <w:rsid w:val="00767BA7"/>
    <w:rsid w:val="007749D8"/>
    <w:rsid w:val="00776828"/>
    <w:rsid w:val="00781648"/>
    <w:rsid w:val="007852CD"/>
    <w:rsid w:val="007858B1"/>
    <w:rsid w:val="007A2D9D"/>
    <w:rsid w:val="007B1CD6"/>
    <w:rsid w:val="007B53F8"/>
    <w:rsid w:val="007C017D"/>
    <w:rsid w:val="007C4322"/>
    <w:rsid w:val="007C43D9"/>
    <w:rsid w:val="007C6FA7"/>
    <w:rsid w:val="007D04F2"/>
    <w:rsid w:val="007D13A6"/>
    <w:rsid w:val="007F0798"/>
    <w:rsid w:val="007F0BFC"/>
    <w:rsid w:val="007F0CFA"/>
    <w:rsid w:val="007F1608"/>
    <w:rsid w:val="007F2E15"/>
    <w:rsid w:val="007F4334"/>
    <w:rsid w:val="00804AAC"/>
    <w:rsid w:val="0080622F"/>
    <w:rsid w:val="00810E7E"/>
    <w:rsid w:val="008134C9"/>
    <w:rsid w:val="00813A55"/>
    <w:rsid w:val="0081679B"/>
    <w:rsid w:val="00826DB1"/>
    <w:rsid w:val="0083292C"/>
    <w:rsid w:val="0083635B"/>
    <w:rsid w:val="00842080"/>
    <w:rsid w:val="00850E4C"/>
    <w:rsid w:val="008526AB"/>
    <w:rsid w:val="00861805"/>
    <w:rsid w:val="0086504F"/>
    <w:rsid w:val="00870E91"/>
    <w:rsid w:val="00871724"/>
    <w:rsid w:val="00872D84"/>
    <w:rsid w:val="00882D71"/>
    <w:rsid w:val="008832A9"/>
    <w:rsid w:val="00883B34"/>
    <w:rsid w:val="00883D76"/>
    <w:rsid w:val="008850B7"/>
    <w:rsid w:val="008926E6"/>
    <w:rsid w:val="0089387B"/>
    <w:rsid w:val="008A3467"/>
    <w:rsid w:val="008B7ACE"/>
    <w:rsid w:val="008C71A3"/>
    <w:rsid w:val="008D0694"/>
    <w:rsid w:val="008D43A9"/>
    <w:rsid w:val="008D574B"/>
    <w:rsid w:val="008E1635"/>
    <w:rsid w:val="008E4CFA"/>
    <w:rsid w:val="008E66BF"/>
    <w:rsid w:val="009127BF"/>
    <w:rsid w:val="00914DB9"/>
    <w:rsid w:val="0092679B"/>
    <w:rsid w:val="009315E1"/>
    <w:rsid w:val="00935C9B"/>
    <w:rsid w:val="009457B5"/>
    <w:rsid w:val="00955FB9"/>
    <w:rsid w:val="0096002F"/>
    <w:rsid w:val="00960EBD"/>
    <w:rsid w:val="0097462B"/>
    <w:rsid w:val="009753E7"/>
    <w:rsid w:val="0099575A"/>
    <w:rsid w:val="009B4120"/>
    <w:rsid w:val="009B4A99"/>
    <w:rsid w:val="009C0E80"/>
    <w:rsid w:val="009C0F6E"/>
    <w:rsid w:val="009C278E"/>
    <w:rsid w:val="009C4BEF"/>
    <w:rsid w:val="009D3845"/>
    <w:rsid w:val="009F3B14"/>
    <w:rsid w:val="009F5288"/>
    <w:rsid w:val="009F7E72"/>
    <w:rsid w:val="00A0186C"/>
    <w:rsid w:val="00A03E4E"/>
    <w:rsid w:val="00A04BDA"/>
    <w:rsid w:val="00A16C79"/>
    <w:rsid w:val="00A22730"/>
    <w:rsid w:val="00A3323B"/>
    <w:rsid w:val="00A363B5"/>
    <w:rsid w:val="00A63F8E"/>
    <w:rsid w:val="00A83E2A"/>
    <w:rsid w:val="00A955BD"/>
    <w:rsid w:val="00A96C16"/>
    <w:rsid w:val="00AA1695"/>
    <w:rsid w:val="00AB14B5"/>
    <w:rsid w:val="00AB2089"/>
    <w:rsid w:val="00AB6F0C"/>
    <w:rsid w:val="00AC77CB"/>
    <w:rsid w:val="00AD1674"/>
    <w:rsid w:val="00AE457F"/>
    <w:rsid w:val="00AF025D"/>
    <w:rsid w:val="00AF17D8"/>
    <w:rsid w:val="00AF1E57"/>
    <w:rsid w:val="00AF2057"/>
    <w:rsid w:val="00B07AB3"/>
    <w:rsid w:val="00B20FDC"/>
    <w:rsid w:val="00B26A14"/>
    <w:rsid w:val="00B30281"/>
    <w:rsid w:val="00B340D3"/>
    <w:rsid w:val="00B47D9A"/>
    <w:rsid w:val="00B604A9"/>
    <w:rsid w:val="00B77EA1"/>
    <w:rsid w:val="00B8031C"/>
    <w:rsid w:val="00B804E2"/>
    <w:rsid w:val="00B80F6C"/>
    <w:rsid w:val="00B84549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E0148"/>
    <w:rsid w:val="00BE30E4"/>
    <w:rsid w:val="00BE69CA"/>
    <w:rsid w:val="00BF114C"/>
    <w:rsid w:val="00C01B57"/>
    <w:rsid w:val="00C0287F"/>
    <w:rsid w:val="00C05A86"/>
    <w:rsid w:val="00C06221"/>
    <w:rsid w:val="00C10246"/>
    <w:rsid w:val="00C11D13"/>
    <w:rsid w:val="00C124E6"/>
    <w:rsid w:val="00C1452A"/>
    <w:rsid w:val="00C201A7"/>
    <w:rsid w:val="00C40EB0"/>
    <w:rsid w:val="00C45440"/>
    <w:rsid w:val="00C474D8"/>
    <w:rsid w:val="00C53545"/>
    <w:rsid w:val="00C55A35"/>
    <w:rsid w:val="00C61C4A"/>
    <w:rsid w:val="00C6317B"/>
    <w:rsid w:val="00C65E50"/>
    <w:rsid w:val="00C73AF9"/>
    <w:rsid w:val="00C74955"/>
    <w:rsid w:val="00C74979"/>
    <w:rsid w:val="00C842B8"/>
    <w:rsid w:val="00C85070"/>
    <w:rsid w:val="00C971F1"/>
    <w:rsid w:val="00CA4068"/>
    <w:rsid w:val="00CB26B0"/>
    <w:rsid w:val="00CD5EF1"/>
    <w:rsid w:val="00CE0F3D"/>
    <w:rsid w:val="00CF7071"/>
    <w:rsid w:val="00D06519"/>
    <w:rsid w:val="00D16C3B"/>
    <w:rsid w:val="00D226E8"/>
    <w:rsid w:val="00D22C0A"/>
    <w:rsid w:val="00D24933"/>
    <w:rsid w:val="00D26087"/>
    <w:rsid w:val="00D27185"/>
    <w:rsid w:val="00D3787A"/>
    <w:rsid w:val="00D444D8"/>
    <w:rsid w:val="00D45343"/>
    <w:rsid w:val="00D53F5D"/>
    <w:rsid w:val="00D54FE9"/>
    <w:rsid w:val="00D5748E"/>
    <w:rsid w:val="00D60ADA"/>
    <w:rsid w:val="00D72456"/>
    <w:rsid w:val="00D7746C"/>
    <w:rsid w:val="00D82040"/>
    <w:rsid w:val="00D823E0"/>
    <w:rsid w:val="00DA79C2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3EB3"/>
    <w:rsid w:val="00E35120"/>
    <w:rsid w:val="00E46A59"/>
    <w:rsid w:val="00E46CE2"/>
    <w:rsid w:val="00E53508"/>
    <w:rsid w:val="00E72999"/>
    <w:rsid w:val="00E763D9"/>
    <w:rsid w:val="00E86618"/>
    <w:rsid w:val="00E93A15"/>
    <w:rsid w:val="00E94076"/>
    <w:rsid w:val="00EA44D9"/>
    <w:rsid w:val="00ED0135"/>
    <w:rsid w:val="00EE3DB7"/>
    <w:rsid w:val="00EE677D"/>
    <w:rsid w:val="00F15206"/>
    <w:rsid w:val="00F15D7C"/>
    <w:rsid w:val="00F21B54"/>
    <w:rsid w:val="00F21EB2"/>
    <w:rsid w:val="00F35979"/>
    <w:rsid w:val="00F42484"/>
    <w:rsid w:val="00F43E13"/>
    <w:rsid w:val="00F444DA"/>
    <w:rsid w:val="00F45096"/>
    <w:rsid w:val="00F50051"/>
    <w:rsid w:val="00F60E1E"/>
    <w:rsid w:val="00F63327"/>
    <w:rsid w:val="00F6735E"/>
    <w:rsid w:val="00F81C3F"/>
    <w:rsid w:val="00F82806"/>
    <w:rsid w:val="00F92D78"/>
    <w:rsid w:val="00F93AB1"/>
    <w:rsid w:val="00FB26E5"/>
    <w:rsid w:val="00FC2538"/>
    <w:rsid w:val="00FC34E3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145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60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2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2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6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ila.zyzkowska@intouch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oszak@lug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A50FC-70F8-4F98-96E1-C987396B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7171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3</cp:revision>
  <cp:lastPrinted>2020-12-16T11:57:00Z</cp:lastPrinted>
  <dcterms:created xsi:type="dcterms:W3CDTF">2021-02-11T10:01:00Z</dcterms:created>
  <dcterms:modified xsi:type="dcterms:W3CDTF">2021-02-11T10:01:00Z</dcterms:modified>
</cp:coreProperties>
</file>