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6587" w14:textId="77777777" w:rsidR="00F523E3" w:rsidRPr="00DD6045" w:rsidRDefault="00F523E3" w:rsidP="00DD6045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14:paraId="4012E49D" w14:textId="087B4017" w:rsidR="00F523E3" w:rsidRPr="00DD6045" w:rsidRDefault="00F523E3" w:rsidP="00DD6045">
      <w:pPr>
        <w:spacing w:line="276" w:lineRule="auto"/>
        <w:jc w:val="right"/>
        <w:rPr>
          <w:rFonts w:asciiTheme="majorHAnsi" w:hAnsiTheme="majorHAnsi"/>
          <w:b/>
          <w:sz w:val="22"/>
          <w:szCs w:val="22"/>
        </w:rPr>
      </w:pPr>
      <w:r w:rsidRPr="00DD6045">
        <w:rPr>
          <w:rFonts w:asciiTheme="majorHAnsi" w:hAnsiTheme="majorHAnsi"/>
          <w:b/>
          <w:sz w:val="22"/>
          <w:szCs w:val="22"/>
        </w:rPr>
        <w:t>Informacja prasowa</w:t>
      </w:r>
    </w:p>
    <w:p w14:paraId="3F7F0F50" w14:textId="77777777" w:rsidR="00F523E3" w:rsidRPr="00DD6045" w:rsidRDefault="00F523E3" w:rsidP="00DD6045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</w:p>
    <w:p w14:paraId="2FD93327" w14:textId="1BCF1FB1" w:rsidR="00F523E3" w:rsidRPr="00DD6045" w:rsidRDefault="00F523E3" w:rsidP="00DD6045">
      <w:pPr>
        <w:spacing w:line="276" w:lineRule="auto"/>
        <w:jc w:val="right"/>
        <w:rPr>
          <w:rFonts w:asciiTheme="majorHAnsi" w:hAnsiTheme="majorHAnsi"/>
          <w:sz w:val="22"/>
          <w:szCs w:val="22"/>
        </w:rPr>
      </w:pPr>
      <w:r w:rsidRPr="00DD6045">
        <w:rPr>
          <w:rFonts w:asciiTheme="majorHAnsi" w:hAnsiTheme="majorHAnsi"/>
          <w:sz w:val="22"/>
          <w:szCs w:val="22"/>
        </w:rPr>
        <w:t>Zielona Góra, 07.02.2020</w:t>
      </w:r>
    </w:p>
    <w:p w14:paraId="3A8C2A06" w14:textId="77777777" w:rsidR="00F523E3" w:rsidRPr="00DD6045" w:rsidRDefault="00F523E3" w:rsidP="00DD604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3FF9AE5" w14:textId="249F894E" w:rsidR="00F523E3" w:rsidRPr="00DD6045" w:rsidRDefault="00F870C8" w:rsidP="00DD6045">
      <w:pPr>
        <w:spacing w:line="276" w:lineRule="auto"/>
        <w:rPr>
          <w:rFonts w:asciiTheme="majorHAnsi" w:hAnsiTheme="majorHAnsi"/>
          <w:sz w:val="22"/>
          <w:szCs w:val="22"/>
        </w:rPr>
      </w:pPr>
      <w:r w:rsidRPr="00DD6045">
        <w:rPr>
          <w:rFonts w:asciiTheme="majorHAnsi" w:hAnsiTheme="majorHAnsi"/>
          <w:sz w:val="22"/>
          <w:szCs w:val="22"/>
        </w:rPr>
        <w:t>Szacunkowe skonsolidowane dane za IV kw. 2019 r.</w:t>
      </w:r>
    </w:p>
    <w:p w14:paraId="5EF998CB" w14:textId="69B547E7" w:rsidR="00942DFC" w:rsidRPr="0047003B" w:rsidRDefault="00E25194" w:rsidP="00175B91">
      <w:pPr>
        <w:spacing w:line="276" w:lineRule="auto"/>
        <w:jc w:val="both"/>
        <w:rPr>
          <w:rFonts w:asciiTheme="majorHAnsi" w:hAnsiTheme="majorHAnsi"/>
          <w:b/>
          <w:sz w:val="26"/>
          <w:szCs w:val="26"/>
        </w:rPr>
      </w:pPr>
      <w:r w:rsidRPr="00DD6045">
        <w:rPr>
          <w:rFonts w:asciiTheme="majorHAnsi" w:hAnsiTheme="majorHAnsi"/>
          <w:b/>
        </w:rPr>
        <w:br/>
      </w:r>
      <w:r w:rsidR="0047003B" w:rsidRPr="0047003B">
        <w:rPr>
          <w:rFonts w:asciiTheme="majorHAnsi" w:hAnsiTheme="majorHAnsi"/>
          <w:b/>
          <w:sz w:val="26"/>
          <w:szCs w:val="26"/>
        </w:rPr>
        <w:t xml:space="preserve">LUG rośnie na rynkach zagranicznych. </w:t>
      </w:r>
      <w:r w:rsidR="00942DFC" w:rsidRPr="0047003B">
        <w:rPr>
          <w:rFonts w:asciiTheme="majorHAnsi" w:hAnsiTheme="majorHAnsi"/>
          <w:b/>
          <w:sz w:val="26"/>
          <w:szCs w:val="26"/>
        </w:rPr>
        <w:t>Wysoka sprzedaż nie przełożyła się na zysk</w:t>
      </w:r>
      <w:r w:rsidR="0047003B" w:rsidRPr="0047003B">
        <w:rPr>
          <w:rFonts w:asciiTheme="majorHAnsi" w:hAnsiTheme="majorHAnsi"/>
          <w:b/>
          <w:sz w:val="26"/>
          <w:szCs w:val="26"/>
        </w:rPr>
        <w:t>.</w:t>
      </w:r>
    </w:p>
    <w:p w14:paraId="043483AD" w14:textId="77777777" w:rsidR="00F870C8" w:rsidRPr="00DD6045" w:rsidRDefault="00F870C8" w:rsidP="00DD6045">
      <w:pPr>
        <w:spacing w:line="276" w:lineRule="auto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14:paraId="3C413885" w14:textId="5AA81C0B" w:rsidR="00E25118" w:rsidRPr="00DD6045" w:rsidRDefault="0016559D" w:rsidP="00175B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Łącznie w całym roku </w:t>
      </w:r>
      <w:r w:rsidR="00CE6162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170,65 mln zł </w:t>
      </w: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przychodów ze sprzedaży, </w:t>
      </w:r>
      <w:r w:rsidR="0047003B">
        <w:rPr>
          <w:rFonts w:asciiTheme="majorHAnsi" w:eastAsia="Calibri" w:hAnsiTheme="majorHAnsi"/>
          <w:b/>
          <w:sz w:val="22"/>
          <w:szCs w:val="22"/>
          <w:lang w:eastAsia="en-US"/>
        </w:rPr>
        <w:t>w stosunku do 170,79 mln zł</w:t>
      </w: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br/>
      </w:r>
      <w:r w:rsidR="0047003B">
        <w:rPr>
          <w:rFonts w:asciiTheme="majorHAnsi" w:eastAsia="Calibri" w:hAnsiTheme="majorHAnsi"/>
          <w:b/>
          <w:sz w:val="22"/>
          <w:szCs w:val="22"/>
          <w:lang w:eastAsia="en-US"/>
        </w:rPr>
        <w:t>w</w:t>
      </w: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2018;</w:t>
      </w:r>
    </w:p>
    <w:p w14:paraId="2D2229AC" w14:textId="33982B5E" w:rsidR="00E25118" w:rsidRPr="00DD6045" w:rsidRDefault="00E25118" w:rsidP="00175B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47,25 mln zł  przychodów</w:t>
      </w:r>
      <w:r w:rsidR="00CE6162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ze sprzedaż</w:t>
      </w:r>
      <w:r w:rsidR="00904E56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y w IV kw. 2019r.</w:t>
      </w:r>
      <w:r w:rsidR="0047003B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– drugi najlepszy kwartał w historii Grupy LUG</w:t>
      </w:r>
      <w:r w:rsidR="00904E56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;</w:t>
      </w:r>
    </w:p>
    <w:p w14:paraId="12A57FC8" w14:textId="2BB27D60" w:rsidR="005C13C1" w:rsidRPr="00DD6045" w:rsidRDefault="0047003B" w:rsidP="00175B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65,43 </w:t>
      </w:r>
      <w:r w:rsidR="00E25118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mln zł zy</w:t>
      </w:r>
      <w:r w:rsidR="005C13C1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sku brutto ze sprzedaży w 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2019 i 16,60 mln zł zysku brutto ze sprzedaży </w:t>
      </w:r>
      <w:r w:rsidR="00175B91">
        <w:rPr>
          <w:rFonts w:asciiTheme="majorHAnsi" w:eastAsia="Calibri" w:hAnsiTheme="majorHAnsi"/>
          <w:b/>
          <w:sz w:val="22"/>
          <w:szCs w:val="22"/>
          <w:lang w:eastAsia="en-US"/>
        </w:rPr>
        <w:t>w </w:t>
      </w:r>
      <w:r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samym </w:t>
      </w:r>
      <w:r w:rsidR="005C13C1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IV kw.</w:t>
      </w:r>
      <w:r w:rsidR="00904E56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;</w:t>
      </w:r>
      <w:r w:rsidR="00E25118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</w:t>
      </w:r>
    </w:p>
    <w:p w14:paraId="7223DC64" w14:textId="48FAD658" w:rsidR="00E25118" w:rsidRPr="00DD6045" w:rsidRDefault="005C13C1" w:rsidP="00175B9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5,10 </w:t>
      </w:r>
      <w:r w:rsidR="00E25118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mln</w:t>
      </w:r>
      <w:r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zł straty netto  w IV kwartale, w ujęciu narastającym za cały 2019 roku strata netto wyniosła -4,69 mln zł</w:t>
      </w:r>
      <w:r w:rsidR="00904E56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>;</w:t>
      </w:r>
    </w:p>
    <w:p w14:paraId="01B4003D" w14:textId="791A05F1" w:rsidR="00E25194" w:rsidRPr="00DD6045" w:rsidRDefault="0047003B" w:rsidP="00175B91">
      <w:pPr>
        <w:numPr>
          <w:ilvl w:val="0"/>
          <w:numId w:val="6"/>
        </w:numPr>
        <w:spacing w:line="276" w:lineRule="auto"/>
        <w:contextualSpacing/>
        <w:jc w:val="both"/>
        <w:rPr>
          <w:rFonts w:asciiTheme="majorHAnsi" w:eastAsia="Calibri" w:hAnsiTheme="majorHAnsi"/>
          <w:b/>
          <w:sz w:val="22"/>
          <w:szCs w:val="22"/>
          <w:lang w:eastAsia="en-US"/>
        </w:rPr>
      </w:pPr>
      <w:r>
        <w:rPr>
          <w:rFonts w:asciiTheme="majorHAnsi" w:eastAsia="Calibri" w:hAnsiTheme="majorHAnsi"/>
          <w:b/>
          <w:sz w:val="22"/>
          <w:szCs w:val="22"/>
          <w:lang w:eastAsia="en-US"/>
        </w:rPr>
        <w:t>4,88</w:t>
      </w:r>
      <w:r w:rsidR="00E25194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  mln zł wynik EBITDA za ostatnie cztery kwartały i  - </w:t>
      </w:r>
      <w:r w:rsidR="00942DFC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1,39 </w:t>
      </w:r>
      <w:r w:rsidR="00E25194" w:rsidRPr="00DD6045">
        <w:rPr>
          <w:rFonts w:asciiTheme="majorHAnsi" w:eastAsia="Calibri" w:hAnsiTheme="majorHAnsi"/>
          <w:b/>
          <w:sz w:val="22"/>
          <w:szCs w:val="22"/>
          <w:lang w:eastAsia="en-US"/>
        </w:rPr>
        <w:t xml:space="preserve">mln zł wyniku EBITDA </w:t>
      </w:r>
      <w:r w:rsidR="00E25194" w:rsidRPr="00DD6045">
        <w:rPr>
          <w:rFonts w:asciiTheme="majorHAnsi" w:eastAsia="Calibri" w:hAnsiTheme="majorHAnsi"/>
          <w:b/>
          <w:sz w:val="22"/>
          <w:szCs w:val="22"/>
          <w:lang w:eastAsia="en-US"/>
        </w:rPr>
        <w:br/>
        <w:t>w IV kwartale 2019 r.</w:t>
      </w:r>
    </w:p>
    <w:p w14:paraId="4338C8AD" w14:textId="77777777" w:rsidR="00E25194" w:rsidRPr="00DD6045" w:rsidRDefault="00E25194" w:rsidP="00DD6045">
      <w:pPr>
        <w:spacing w:line="276" w:lineRule="auto"/>
        <w:rPr>
          <w:rFonts w:asciiTheme="majorHAnsi" w:eastAsia="Calibri" w:hAnsiTheme="majorHAnsi"/>
          <w:b/>
          <w:sz w:val="22"/>
          <w:szCs w:val="22"/>
        </w:rPr>
      </w:pPr>
    </w:p>
    <w:p w14:paraId="537E43BD" w14:textId="282B1535" w:rsidR="00D157AB" w:rsidRPr="00DD6045" w:rsidRDefault="0016559D" w:rsidP="00DD6045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</w:rPr>
      </w:pPr>
      <w:r w:rsidRPr="00DD6045">
        <w:rPr>
          <w:rFonts w:asciiTheme="majorHAnsi" w:eastAsia="Calibri" w:hAnsiTheme="majorHAnsi"/>
          <w:b/>
          <w:sz w:val="22"/>
          <w:szCs w:val="22"/>
        </w:rPr>
        <w:t xml:space="preserve">Grupa Kapitałowa LUG S.A. opublikowała skonsolidowane wyniki finansowe za IV kwartał br. </w:t>
      </w:r>
      <w:r w:rsidRPr="00DD6045">
        <w:rPr>
          <w:rFonts w:asciiTheme="majorHAnsi" w:eastAsia="Calibri" w:hAnsiTheme="majorHAnsi"/>
          <w:b/>
          <w:sz w:val="22"/>
          <w:szCs w:val="22"/>
        </w:rPr>
        <w:br/>
        <w:t xml:space="preserve">W ostatnich trzech miesiącach </w:t>
      </w:r>
      <w:r w:rsidR="0024595E">
        <w:rPr>
          <w:rFonts w:asciiTheme="majorHAnsi" w:eastAsia="Calibri" w:hAnsiTheme="majorHAnsi"/>
          <w:b/>
          <w:sz w:val="22"/>
          <w:szCs w:val="22"/>
        </w:rPr>
        <w:t xml:space="preserve">minionego </w:t>
      </w:r>
      <w:r w:rsidRPr="00DD6045">
        <w:rPr>
          <w:rFonts w:asciiTheme="majorHAnsi" w:eastAsia="Calibri" w:hAnsiTheme="majorHAnsi"/>
          <w:b/>
          <w:sz w:val="22"/>
          <w:szCs w:val="22"/>
        </w:rPr>
        <w:t xml:space="preserve">roku </w:t>
      </w:r>
      <w:r w:rsidRPr="00DD6045">
        <w:rPr>
          <w:rFonts w:asciiTheme="majorHAnsi" w:hAnsiTheme="majorHAnsi"/>
          <w:b/>
          <w:iCs/>
          <w:sz w:val="22"/>
          <w:szCs w:val="22"/>
        </w:rPr>
        <w:t xml:space="preserve">Grupa odnotowała przychody ze sprzedaży </w:t>
      </w:r>
      <w:r w:rsidR="00175B91">
        <w:rPr>
          <w:rFonts w:asciiTheme="majorHAnsi" w:hAnsiTheme="majorHAnsi"/>
          <w:b/>
          <w:iCs/>
          <w:sz w:val="22"/>
          <w:szCs w:val="22"/>
        </w:rPr>
        <w:t>w </w:t>
      </w:r>
      <w:r w:rsidRPr="00DD6045">
        <w:rPr>
          <w:rFonts w:asciiTheme="majorHAnsi" w:hAnsiTheme="majorHAnsi"/>
          <w:b/>
          <w:iCs/>
          <w:sz w:val="22"/>
          <w:szCs w:val="22"/>
        </w:rPr>
        <w:t xml:space="preserve">wysokości </w:t>
      </w:r>
      <w:r w:rsidR="00E25194" w:rsidRPr="00DD6045">
        <w:rPr>
          <w:rFonts w:asciiTheme="majorHAnsi" w:hAnsiTheme="majorHAnsi"/>
          <w:b/>
          <w:iCs/>
          <w:sz w:val="22"/>
          <w:szCs w:val="22"/>
        </w:rPr>
        <w:t xml:space="preserve">47,25 </w:t>
      </w:r>
      <w:r w:rsidRPr="00DD6045">
        <w:rPr>
          <w:rFonts w:asciiTheme="majorHAnsi" w:hAnsiTheme="majorHAnsi"/>
          <w:b/>
          <w:iCs/>
          <w:sz w:val="22"/>
          <w:szCs w:val="22"/>
        </w:rPr>
        <w:t>mln</w:t>
      </w:r>
      <w:r w:rsidR="0024595E">
        <w:rPr>
          <w:rFonts w:asciiTheme="majorHAnsi" w:hAnsiTheme="majorHAnsi"/>
          <w:b/>
          <w:iCs/>
          <w:sz w:val="22"/>
          <w:szCs w:val="22"/>
        </w:rPr>
        <w:t xml:space="preserve"> zł, </w:t>
      </w:r>
      <w:r w:rsidR="00E25194" w:rsidRPr="00DD6045">
        <w:rPr>
          <w:rFonts w:asciiTheme="majorHAnsi" w:eastAsia="Calibri" w:hAnsiTheme="majorHAnsi"/>
          <w:b/>
          <w:sz w:val="22"/>
          <w:szCs w:val="22"/>
        </w:rPr>
        <w:t xml:space="preserve">to </w:t>
      </w:r>
      <w:r w:rsidR="0024595E">
        <w:rPr>
          <w:rFonts w:asciiTheme="majorHAnsi" w:eastAsia="Calibri" w:hAnsiTheme="majorHAnsi"/>
          <w:b/>
          <w:sz w:val="22"/>
          <w:szCs w:val="22"/>
        </w:rPr>
        <w:t>spadek</w:t>
      </w:r>
      <w:r w:rsidR="00E25194" w:rsidRPr="00DD6045">
        <w:rPr>
          <w:rFonts w:asciiTheme="majorHAnsi" w:eastAsia="Calibri" w:hAnsiTheme="majorHAnsi"/>
          <w:b/>
          <w:sz w:val="22"/>
          <w:szCs w:val="22"/>
        </w:rPr>
        <w:t xml:space="preserve"> </w:t>
      </w:r>
      <w:r w:rsidR="0047003B">
        <w:rPr>
          <w:rFonts w:asciiTheme="majorHAnsi" w:eastAsia="Calibri" w:hAnsiTheme="majorHAnsi"/>
          <w:b/>
          <w:sz w:val="22"/>
          <w:szCs w:val="22"/>
        </w:rPr>
        <w:t xml:space="preserve">o </w:t>
      </w:r>
      <w:r w:rsidR="00E25194" w:rsidRPr="00DD6045">
        <w:rPr>
          <w:rFonts w:asciiTheme="majorHAnsi" w:eastAsia="Calibri" w:hAnsiTheme="majorHAnsi"/>
          <w:b/>
          <w:sz w:val="22"/>
          <w:szCs w:val="22"/>
        </w:rPr>
        <w:t xml:space="preserve">7,7 proc. </w:t>
      </w:r>
      <w:r w:rsidR="0047003B">
        <w:rPr>
          <w:rFonts w:asciiTheme="majorHAnsi" w:eastAsia="Calibri" w:hAnsiTheme="majorHAnsi"/>
          <w:b/>
          <w:sz w:val="22"/>
          <w:szCs w:val="22"/>
        </w:rPr>
        <w:t>w stosunku do zeszłorocznego wyniku</w:t>
      </w:r>
      <w:r w:rsidR="0024595E">
        <w:rPr>
          <w:rFonts w:asciiTheme="majorHAnsi" w:eastAsia="Calibri" w:hAnsiTheme="majorHAnsi"/>
          <w:b/>
          <w:sz w:val="22"/>
          <w:szCs w:val="22"/>
        </w:rPr>
        <w:t>.  Jednak</w:t>
      </w:r>
      <w:r w:rsidR="00E25194" w:rsidRPr="00DD6045">
        <w:rPr>
          <w:rFonts w:asciiTheme="majorHAnsi" w:eastAsia="Calibri" w:hAnsiTheme="majorHAnsi"/>
          <w:b/>
          <w:sz w:val="22"/>
          <w:szCs w:val="22"/>
        </w:rPr>
        <w:t xml:space="preserve"> </w:t>
      </w:r>
      <w:r w:rsidR="00175B91">
        <w:rPr>
          <w:rFonts w:asciiTheme="majorHAnsi" w:eastAsia="Calibri" w:hAnsiTheme="majorHAnsi"/>
          <w:b/>
          <w:sz w:val="22"/>
          <w:szCs w:val="22"/>
        </w:rPr>
        <w:t>to </w:t>
      </w:r>
      <w:r w:rsidR="00E25194" w:rsidRPr="00DD6045">
        <w:rPr>
          <w:rFonts w:asciiTheme="majorHAnsi" w:eastAsia="Calibri" w:hAnsiTheme="majorHAnsi"/>
          <w:b/>
          <w:sz w:val="22"/>
          <w:szCs w:val="22"/>
        </w:rPr>
        <w:t xml:space="preserve">drugi co do wielkości </w:t>
      </w:r>
      <w:r w:rsidR="00E25194" w:rsidRPr="00DD6045">
        <w:rPr>
          <w:rFonts w:asciiTheme="majorHAnsi" w:hAnsiTheme="majorHAnsi"/>
          <w:b/>
          <w:sz w:val="22"/>
          <w:szCs w:val="22"/>
        </w:rPr>
        <w:t xml:space="preserve"> </w:t>
      </w:r>
      <w:r w:rsidR="0024595E">
        <w:rPr>
          <w:rFonts w:asciiTheme="majorHAnsi" w:hAnsiTheme="majorHAnsi"/>
          <w:b/>
          <w:sz w:val="22"/>
          <w:szCs w:val="22"/>
        </w:rPr>
        <w:t xml:space="preserve">wynik </w:t>
      </w:r>
      <w:r w:rsidR="00E25194" w:rsidRPr="00DD6045">
        <w:rPr>
          <w:rFonts w:asciiTheme="majorHAnsi" w:hAnsiTheme="majorHAnsi"/>
          <w:b/>
          <w:sz w:val="22"/>
          <w:szCs w:val="22"/>
        </w:rPr>
        <w:t xml:space="preserve">sprzedaży kwartalnej w </w:t>
      </w:r>
      <w:r w:rsidR="0024595E">
        <w:rPr>
          <w:rFonts w:asciiTheme="majorHAnsi" w:hAnsiTheme="majorHAnsi"/>
          <w:b/>
          <w:sz w:val="22"/>
          <w:szCs w:val="22"/>
        </w:rPr>
        <w:t xml:space="preserve">całej </w:t>
      </w:r>
      <w:r w:rsidR="00E25194" w:rsidRPr="00DD6045">
        <w:rPr>
          <w:rFonts w:asciiTheme="majorHAnsi" w:hAnsiTheme="majorHAnsi"/>
          <w:b/>
          <w:sz w:val="22"/>
          <w:szCs w:val="22"/>
        </w:rPr>
        <w:t xml:space="preserve">historii firmy. </w:t>
      </w:r>
      <w:r w:rsidR="00E25194" w:rsidRPr="00DD6045">
        <w:rPr>
          <w:rFonts w:asciiTheme="majorHAnsi" w:hAnsiTheme="majorHAnsi"/>
          <w:b/>
          <w:iCs/>
          <w:sz w:val="22"/>
          <w:szCs w:val="22"/>
        </w:rPr>
        <w:t xml:space="preserve">Dobry wynik sprzedażowy nie przełożył się jednak na </w:t>
      </w:r>
      <w:r w:rsidR="00D157AB" w:rsidRPr="00DD6045">
        <w:rPr>
          <w:rFonts w:asciiTheme="majorHAnsi" w:hAnsiTheme="majorHAnsi"/>
          <w:b/>
          <w:iCs/>
          <w:sz w:val="22"/>
          <w:szCs w:val="22"/>
        </w:rPr>
        <w:t>dodatni wynik finansowy.</w:t>
      </w:r>
      <w:r w:rsidR="00D157AB" w:rsidRPr="00DD6045">
        <w:rPr>
          <w:rFonts w:asciiTheme="majorHAnsi" w:eastAsia="Calibri" w:hAnsiTheme="majorHAnsi"/>
          <w:b/>
          <w:sz w:val="22"/>
          <w:szCs w:val="22"/>
        </w:rPr>
        <w:t xml:space="preserve"> </w:t>
      </w:r>
    </w:p>
    <w:p w14:paraId="0B172650" w14:textId="7FB2BF5E" w:rsidR="00C53A93" w:rsidRDefault="00C53A93" w:rsidP="00942DFC">
      <w:pPr>
        <w:spacing w:line="276" w:lineRule="auto"/>
        <w:rPr>
          <w:rFonts w:asciiTheme="majorHAnsi" w:eastAsia="Calibri" w:hAnsiTheme="majorHAnsi"/>
          <w:b/>
          <w:sz w:val="22"/>
          <w:szCs w:val="22"/>
        </w:rPr>
      </w:pPr>
    </w:p>
    <w:p w14:paraId="076486B1" w14:textId="4034D05A" w:rsidR="00F74A77" w:rsidRDefault="00F74A77" w:rsidP="00175B9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F74A77">
        <w:rPr>
          <w:rFonts w:asciiTheme="majorHAnsi" w:hAnsiTheme="majorHAnsi"/>
          <w:sz w:val="22"/>
          <w:szCs w:val="22"/>
        </w:rPr>
        <w:t xml:space="preserve">Na skonsolidowany wynik po 12 miesiącach 2019 roku składa się dwucyfrowy rozwój Grupy LUG </w:t>
      </w:r>
      <w:r w:rsidR="00175B91">
        <w:rPr>
          <w:rFonts w:asciiTheme="majorHAnsi" w:hAnsiTheme="majorHAnsi"/>
          <w:sz w:val="22"/>
          <w:szCs w:val="22"/>
        </w:rPr>
        <w:t>na </w:t>
      </w:r>
      <w:r w:rsidRPr="00F74A77">
        <w:rPr>
          <w:rFonts w:asciiTheme="majorHAnsi" w:hAnsiTheme="majorHAnsi"/>
          <w:sz w:val="22"/>
          <w:szCs w:val="22"/>
        </w:rPr>
        <w:t>rynkach zagranicznych, na których przychody ze sprzedaży osiągnęły około 15-procentową dynamikę, przy równoczesnym 17-procentowym spadku przychodów ze sprzedaży na rynku polskim.</w:t>
      </w:r>
      <w:r>
        <w:rPr>
          <w:rFonts w:asciiTheme="majorHAnsi" w:hAnsiTheme="majorHAnsi"/>
          <w:sz w:val="22"/>
          <w:szCs w:val="22"/>
        </w:rPr>
        <w:t xml:space="preserve"> Udział e</w:t>
      </w:r>
      <w:r w:rsidR="00175B91">
        <w:rPr>
          <w:rFonts w:asciiTheme="majorHAnsi" w:hAnsiTheme="majorHAnsi"/>
          <w:sz w:val="22"/>
          <w:szCs w:val="22"/>
        </w:rPr>
        <w:t>ks</w:t>
      </w:r>
      <w:r>
        <w:rPr>
          <w:rFonts w:asciiTheme="majorHAnsi" w:hAnsiTheme="majorHAnsi"/>
          <w:sz w:val="22"/>
          <w:szCs w:val="22"/>
        </w:rPr>
        <w:t>portu w strukturze sprzedaży przekroczył w 2019 roku 60%.</w:t>
      </w:r>
    </w:p>
    <w:p w14:paraId="1D3B1BCF" w14:textId="7FA69383" w:rsidR="00F74A77" w:rsidRDefault="00F74A77" w:rsidP="00942DF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8596B24" w14:textId="4805B62B" w:rsidR="00F74A77" w:rsidRPr="00DD6045" w:rsidRDefault="00F74A77" w:rsidP="00F74A7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175B91">
        <w:rPr>
          <w:rFonts w:asciiTheme="majorHAnsi" w:hAnsiTheme="majorHAnsi"/>
          <w:i/>
          <w:iCs/>
          <w:sz w:val="22"/>
          <w:szCs w:val="22"/>
        </w:rPr>
        <w:t xml:space="preserve">Skupiamy się na rozwoju na rynkach zagranicznych, dzięki czemu jesteśmy największym polskim eksporterem oświetlenia. Niestety rynek polski nam nie sprzyja. Wyraźne odczuliśmy spowolnienie inwestycji w budownictwie, znacząco bo aż o 80 proc. r/r obniżyła się też wartość przetargów GDDKiA w okresie styczeń – listopad 2019. Internacjonalizacja oznacza wyższe koszty dlatego w kolejnych miesiącach nasze wysiłki będą skupiać się wokół powrotu do wyższych marż </w:t>
      </w:r>
      <w:r w:rsidRPr="00942DFC">
        <w:rPr>
          <w:rFonts w:asciiTheme="majorHAnsi" w:hAnsiTheme="majorHAnsi"/>
          <w:sz w:val="22"/>
          <w:szCs w:val="22"/>
        </w:rPr>
        <w:t xml:space="preserve">- wyjaśnia  Ryszard </w:t>
      </w:r>
      <w:proofErr w:type="spellStart"/>
      <w:r w:rsidRPr="00942DFC">
        <w:rPr>
          <w:rFonts w:asciiTheme="majorHAnsi" w:hAnsiTheme="majorHAnsi"/>
          <w:sz w:val="22"/>
          <w:szCs w:val="22"/>
        </w:rPr>
        <w:t>Wtorkowski</w:t>
      </w:r>
      <w:proofErr w:type="spellEnd"/>
      <w:r w:rsidRPr="00942DFC">
        <w:rPr>
          <w:rFonts w:asciiTheme="majorHAnsi" w:hAnsiTheme="majorHAnsi"/>
          <w:sz w:val="22"/>
          <w:szCs w:val="22"/>
        </w:rPr>
        <w:t>, Prezes Zarządu LUG S.A.</w:t>
      </w:r>
    </w:p>
    <w:p w14:paraId="3475F516" w14:textId="59701081" w:rsidR="00F74A77" w:rsidRDefault="00F74A77" w:rsidP="00942DFC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1765B2D" w14:textId="3418BEE1" w:rsidR="009F6963" w:rsidRPr="00DD6045" w:rsidRDefault="00F870C8" w:rsidP="00DD6045">
      <w:pPr>
        <w:spacing w:line="276" w:lineRule="auto"/>
        <w:jc w:val="both"/>
        <w:rPr>
          <w:rFonts w:asciiTheme="majorHAnsi" w:eastAsia="Calibri" w:hAnsiTheme="majorHAnsi"/>
          <w:b/>
          <w:sz w:val="22"/>
          <w:szCs w:val="22"/>
        </w:rPr>
      </w:pPr>
      <w:r w:rsidRPr="00DD6045">
        <w:rPr>
          <w:rFonts w:asciiTheme="majorHAnsi" w:eastAsia="Calibri" w:hAnsiTheme="majorHAnsi"/>
          <w:sz w:val="22"/>
          <w:szCs w:val="22"/>
        </w:rPr>
        <w:t>Z</w:t>
      </w:r>
      <w:r w:rsidR="009F6963" w:rsidRPr="00DD6045">
        <w:rPr>
          <w:rFonts w:asciiTheme="majorHAnsi" w:hAnsiTheme="majorHAnsi"/>
          <w:sz w:val="22"/>
          <w:szCs w:val="22"/>
        </w:rPr>
        <w:t>ysk brutto</w:t>
      </w:r>
      <w:r w:rsidRPr="00DD6045">
        <w:rPr>
          <w:rFonts w:asciiTheme="majorHAnsi" w:hAnsiTheme="majorHAnsi"/>
          <w:sz w:val="22"/>
          <w:szCs w:val="22"/>
        </w:rPr>
        <w:t xml:space="preserve"> na sprzedaży w IV kwartale 2019 r. osiągnął poziom 16,60 mln zł wobec 18,80 mln zł</w:t>
      </w:r>
      <w:r w:rsidR="009F6963" w:rsidRPr="00DD6045">
        <w:rPr>
          <w:rFonts w:asciiTheme="majorHAnsi" w:hAnsiTheme="majorHAnsi"/>
          <w:sz w:val="22"/>
          <w:szCs w:val="22"/>
        </w:rPr>
        <w:t xml:space="preserve"> </w:t>
      </w:r>
      <w:r w:rsidR="00175B91">
        <w:rPr>
          <w:rFonts w:asciiTheme="majorHAnsi" w:hAnsiTheme="majorHAnsi"/>
          <w:sz w:val="22"/>
          <w:szCs w:val="22"/>
        </w:rPr>
        <w:t>w IV </w:t>
      </w:r>
      <w:r w:rsidR="009F6963" w:rsidRPr="00DD6045">
        <w:rPr>
          <w:rFonts w:asciiTheme="majorHAnsi" w:hAnsiTheme="majorHAnsi"/>
          <w:sz w:val="22"/>
          <w:szCs w:val="22"/>
        </w:rPr>
        <w:t xml:space="preserve">kw. 2018 roku (-11,7% r/r). </w:t>
      </w:r>
      <w:r w:rsidR="005C13C1" w:rsidRPr="00DD6045">
        <w:rPr>
          <w:rFonts w:asciiTheme="majorHAnsi" w:hAnsiTheme="majorHAnsi"/>
          <w:sz w:val="22"/>
          <w:szCs w:val="22"/>
        </w:rPr>
        <w:t xml:space="preserve">Po czterech kwartałach 2019 roku zysk brutto na sprzedaży wyniósł </w:t>
      </w:r>
      <w:r w:rsidRPr="00DD6045">
        <w:rPr>
          <w:rFonts w:asciiTheme="majorHAnsi" w:hAnsiTheme="majorHAnsi"/>
          <w:sz w:val="22"/>
          <w:szCs w:val="22"/>
        </w:rPr>
        <w:t xml:space="preserve">łącznie </w:t>
      </w:r>
      <w:r w:rsidR="005C13C1" w:rsidRPr="00DD6045">
        <w:rPr>
          <w:rFonts w:asciiTheme="majorHAnsi" w:hAnsiTheme="majorHAnsi"/>
          <w:sz w:val="22"/>
          <w:szCs w:val="22"/>
        </w:rPr>
        <w:t xml:space="preserve">65,43 mln zł, </w:t>
      </w:r>
      <w:r w:rsidRPr="00DD6045">
        <w:rPr>
          <w:rFonts w:asciiTheme="majorHAnsi" w:hAnsiTheme="majorHAnsi"/>
          <w:sz w:val="22"/>
          <w:szCs w:val="22"/>
        </w:rPr>
        <w:t>(-</w:t>
      </w:r>
      <w:r w:rsidR="005C13C1" w:rsidRPr="00DD6045">
        <w:rPr>
          <w:rFonts w:asciiTheme="majorHAnsi" w:hAnsiTheme="majorHAnsi"/>
          <w:sz w:val="22"/>
          <w:szCs w:val="22"/>
        </w:rPr>
        <w:t xml:space="preserve"> 7,5% r/r </w:t>
      </w:r>
      <w:r w:rsidRPr="00DD6045">
        <w:rPr>
          <w:rFonts w:asciiTheme="majorHAnsi" w:hAnsiTheme="majorHAnsi"/>
          <w:sz w:val="22"/>
          <w:szCs w:val="22"/>
        </w:rPr>
        <w:t xml:space="preserve">) w stosunku do </w:t>
      </w:r>
      <w:r w:rsidR="005C13C1" w:rsidRPr="00DD6045">
        <w:rPr>
          <w:rFonts w:asciiTheme="majorHAnsi" w:hAnsiTheme="majorHAnsi"/>
          <w:sz w:val="22"/>
          <w:szCs w:val="22"/>
        </w:rPr>
        <w:t>70,72 mln zł w analogicznym okresie 2018 roku. Zysk netto za</w:t>
      </w:r>
      <w:r w:rsidR="009F6963" w:rsidRPr="00DD6045">
        <w:rPr>
          <w:rFonts w:asciiTheme="majorHAnsi" w:hAnsiTheme="majorHAnsi"/>
          <w:sz w:val="22"/>
          <w:szCs w:val="22"/>
        </w:rPr>
        <w:t xml:space="preserve"> IV kw. 2019 roku zamknął się stratą w wysokości 5,10 mln zł, wobec -857 tys. zł przed rokiem. W ujęciu narastającym za </w:t>
      </w:r>
      <w:r w:rsidR="005C13C1" w:rsidRPr="00DD6045">
        <w:rPr>
          <w:rFonts w:asciiTheme="majorHAnsi" w:hAnsiTheme="majorHAnsi"/>
          <w:sz w:val="22"/>
          <w:szCs w:val="22"/>
        </w:rPr>
        <w:t xml:space="preserve">cały </w:t>
      </w:r>
      <w:r w:rsidR="009F6963" w:rsidRPr="00DD6045">
        <w:rPr>
          <w:rFonts w:asciiTheme="majorHAnsi" w:hAnsiTheme="majorHAnsi"/>
          <w:sz w:val="22"/>
          <w:szCs w:val="22"/>
        </w:rPr>
        <w:t>2019 rok</w:t>
      </w:r>
      <w:r w:rsidR="005C13C1" w:rsidRPr="00DD6045">
        <w:rPr>
          <w:rFonts w:asciiTheme="majorHAnsi" w:hAnsiTheme="majorHAnsi"/>
          <w:sz w:val="22"/>
          <w:szCs w:val="22"/>
        </w:rPr>
        <w:t xml:space="preserve"> strata </w:t>
      </w:r>
      <w:r w:rsidR="009F6963" w:rsidRPr="00DD6045">
        <w:rPr>
          <w:rFonts w:asciiTheme="majorHAnsi" w:hAnsiTheme="majorHAnsi"/>
          <w:sz w:val="22"/>
          <w:szCs w:val="22"/>
        </w:rPr>
        <w:t xml:space="preserve">netto </w:t>
      </w:r>
      <w:r w:rsidR="005C13C1" w:rsidRPr="00DD6045">
        <w:rPr>
          <w:rFonts w:asciiTheme="majorHAnsi" w:hAnsiTheme="majorHAnsi"/>
          <w:sz w:val="22"/>
          <w:szCs w:val="22"/>
        </w:rPr>
        <w:t>wyniosła</w:t>
      </w:r>
      <w:r w:rsidR="009F6963" w:rsidRPr="00DD6045">
        <w:rPr>
          <w:rFonts w:asciiTheme="majorHAnsi" w:hAnsiTheme="majorHAnsi"/>
          <w:sz w:val="22"/>
          <w:szCs w:val="22"/>
        </w:rPr>
        <w:t xml:space="preserve"> -4,69 mln zł, wobec 4,15 mln zł zysku netto przed rokiem.</w:t>
      </w:r>
    </w:p>
    <w:p w14:paraId="286A0B8C" w14:textId="77777777" w:rsidR="00942DFC" w:rsidRDefault="00942DFC" w:rsidP="00942DF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800D58A" w14:textId="155688A3" w:rsidR="009F6963" w:rsidRDefault="006639FC" w:rsidP="00DD60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D6045">
        <w:rPr>
          <w:rFonts w:asciiTheme="majorHAnsi" w:hAnsiTheme="majorHAnsi"/>
          <w:sz w:val="22"/>
          <w:szCs w:val="22"/>
        </w:rPr>
        <w:t>Marża brutto na sprzedaży w IV</w:t>
      </w:r>
      <w:r w:rsidR="00C53A93" w:rsidRPr="00DD6045">
        <w:rPr>
          <w:rFonts w:asciiTheme="majorHAnsi" w:hAnsiTheme="majorHAnsi"/>
          <w:sz w:val="22"/>
          <w:szCs w:val="22"/>
        </w:rPr>
        <w:t xml:space="preserve"> kwartale osiągnęła poziom 35,1 proc., wobec poziomu 36,7 proc.</w:t>
      </w:r>
      <w:r w:rsidRPr="00DD6045">
        <w:rPr>
          <w:rFonts w:asciiTheme="majorHAnsi" w:hAnsiTheme="majorHAnsi"/>
          <w:sz w:val="22"/>
          <w:szCs w:val="22"/>
        </w:rPr>
        <w:t xml:space="preserve"> </w:t>
      </w:r>
      <w:r w:rsidR="004048F8">
        <w:rPr>
          <w:rFonts w:asciiTheme="majorHAnsi" w:hAnsiTheme="majorHAnsi"/>
          <w:sz w:val="22"/>
          <w:szCs w:val="22"/>
        </w:rPr>
        <w:br/>
      </w:r>
      <w:r w:rsidRPr="00DD6045">
        <w:rPr>
          <w:rFonts w:asciiTheme="majorHAnsi" w:hAnsiTheme="majorHAnsi"/>
          <w:sz w:val="22"/>
          <w:szCs w:val="22"/>
        </w:rPr>
        <w:t>w IV kwartale 2018 r.</w:t>
      </w:r>
      <w:r w:rsidR="00175B91">
        <w:rPr>
          <w:rFonts w:asciiTheme="majorHAnsi" w:hAnsiTheme="majorHAnsi"/>
          <w:sz w:val="22"/>
          <w:szCs w:val="22"/>
        </w:rPr>
        <w:t xml:space="preserve">  W </w:t>
      </w:r>
      <w:r w:rsidR="00F870C8" w:rsidRPr="00DD6045">
        <w:rPr>
          <w:rFonts w:asciiTheme="majorHAnsi" w:hAnsiTheme="majorHAnsi"/>
          <w:sz w:val="22"/>
          <w:szCs w:val="22"/>
        </w:rPr>
        <w:t xml:space="preserve">całym </w:t>
      </w:r>
      <w:r w:rsidRPr="00DD6045">
        <w:rPr>
          <w:rFonts w:asciiTheme="majorHAnsi" w:hAnsiTheme="majorHAnsi"/>
          <w:sz w:val="22"/>
          <w:szCs w:val="22"/>
        </w:rPr>
        <w:t>2019 roku</w:t>
      </w:r>
      <w:r w:rsidR="00175B91">
        <w:rPr>
          <w:rFonts w:asciiTheme="majorHAnsi" w:hAnsiTheme="majorHAnsi"/>
          <w:sz w:val="22"/>
          <w:szCs w:val="22"/>
        </w:rPr>
        <w:t xml:space="preserve"> </w:t>
      </w:r>
      <w:r w:rsidR="00F870C8" w:rsidRPr="00DD6045">
        <w:rPr>
          <w:rFonts w:asciiTheme="majorHAnsi" w:hAnsiTheme="majorHAnsi"/>
          <w:sz w:val="22"/>
          <w:szCs w:val="22"/>
        </w:rPr>
        <w:t>obniż</w:t>
      </w:r>
      <w:r w:rsidR="00175B91">
        <w:rPr>
          <w:rFonts w:asciiTheme="majorHAnsi" w:hAnsiTheme="majorHAnsi"/>
          <w:sz w:val="22"/>
          <w:szCs w:val="22"/>
        </w:rPr>
        <w:t xml:space="preserve">yła </w:t>
      </w:r>
      <w:r w:rsidR="00F870C8" w:rsidRPr="00DD6045">
        <w:rPr>
          <w:rFonts w:asciiTheme="majorHAnsi" w:hAnsiTheme="majorHAnsi"/>
          <w:sz w:val="22"/>
          <w:szCs w:val="22"/>
        </w:rPr>
        <w:t xml:space="preserve">się </w:t>
      </w:r>
      <w:r w:rsidR="00175B91">
        <w:rPr>
          <w:rFonts w:asciiTheme="majorHAnsi" w:hAnsiTheme="majorHAnsi"/>
          <w:sz w:val="22"/>
          <w:szCs w:val="22"/>
        </w:rPr>
        <w:t xml:space="preserve">natomiast </w:t>
      </w:r>
      <w:r w:rsidR="00F870C8" w:rsidRPr="00DD6045">
        <w:rPr>
          <w:rFonts w:asciiTheme="majorHAnsi" w:hAnsiTheme="majorHAnsi"/>
          <w:sz w:val="22"/>
          <w:szCs w:val="22"/>
        </w:rPr>
        <w:t xml:space="preserve">o 3,1pp r/r do </w:t>
      </w:r>
      <w:r w:rsidRPr="00DD6045">
        <w:rPr>
          <w:rFonts w:asciiTheme="majorHAnsi" w:hAnsiTheme="majorHAnsi"/>
          <w:sz w:val="22"/>
          <w:szCs w:val="22"/>
        </w:rPr>
        <w:t>poziom 38,3</w:t>
      </w:r>
      <w:r w:rsidR="00C53A93" w:rsidRPr="00DD6045">
        <w:rPr>
          <w:rFonts w:asciiTheme="majorHAnsi" w:hAnsiTheme="majorHAnsi"/>
          <w:sz w:val="22"/>
          <w:szCs w:val="22"/>
        </w:rPr>
        <w:t xml:space="preserve"> proc. </w:t>
      </w:r>
      <w:r w:rsidR="00942DFC">
        <w:rPr>
          <w:rFonts w:asciiTheme="majorHAnsi" w:hAnsiTheme="majorHAnsi"/>
          <w:sz w:val="22"/>
          <w:szCs w:val="22"/>
        </w:rPr>
        <w:t>Spadek</w:t>
      </w:r>
      <w:r w:rsidR="009F6963" w:rsidRPr="00DD6045">
        <w:rPr>
          <w:rFonts w:asciiTheme="majorHAnsi" w:hAnsiTheme="majorHAnsi"/>
          <w:sz w:val="22"/>
          <w:szCs w:val="22"/>
        </w:rPr>
        <w:t xml:space="preserve"> marży brutto na sprzeda</w:t>
      </w:r>
      <w:r w:rsidR="00942DFC">
        <w:rPr>
          <w:rFonts w:asciiTheme="majorHAnsi" w:hAnsiTheme="majorHAnsi"/>
          <w:sz w:val="22"/>
          <w:szCs w:val="22"/>
        </w:rPr>
        <w:t xml:space="preserve">ży i zejście poniżej strategicznego celu </w:t>
      </w:r>
      <w:r w:rsidR="00C53A93" w:rsidRPr="00DD6045">
        <w:rPr>
          <w:rFonts w:asciiTheme="majorHAnsi" w:hAnsiTheme="majorHAnsi"/>
          <w:sz w:val="22"/>
          <w:szCs w:val="22"/>
        </w:rPr>
        <w:t>40 proc.</w:t>
      </w:r>
      <w:r w:rsidR="009F6963" w:rsidRPr="00DD6045">
        <w:rPr>
          <w:rFonts w:asciiTheme="majorHAnsi" w:hAnsiTheme="majorHAnsi"/>
          <w:sz w:val="22"/>
          <w:szCs w:val="22"/>
        </w:rPr>
        <w:t xml:space="preserve"> </w:t>
      </w:r>
      <w:r w:rsidR="00F870C8" w:rsidRPr="00DD6045">
        <w:rPr>
          <w:rFonts w:asciiTheme="majorHAnsi" w:hAnsiTheme="majorHAnsi"/>
          <w:sz w:val="22"/>
          <w:szCs w:val="22"/>
        </w:rPr>
        <w:t xml:space="preserve">ma charakter przejściowy i jest podyktowane </w:t>
      </w:r>
      <w:r w:rsidR="009F6963" w:rsidRPr="00DD6045">
        <w:rPr>
          <w:rFonts w:asciiTheme="majorHAnsi" w:hAnsiTheme="majorHAnsi"/>
          <w:sz w:val="22"/>
          <w:szCs w:val="22"/>
        </w:rPr>
        <w:t xml:space="preserve">potrzebą zwiększenia wolumenów sprzedażowych </w:t>
      </w:r>
      <w:r w:rsidR="00C53A93" w:rsidRPr="00DD6045">
        <w:rPr>
          <w:rFonts w:asciiTheme="majorHAnsi" w:hAnsiTheme="majorHAnsi"/>
          <w:sz w:val="22"/>
          <w:szCs w:val="22"/>
        </w:rPr>
        <w:t xml:space="preserve">i </w:t>
      </w:r>
      <w:r w:rsidR="00F870C8" w:rsidRPr="00DD6045">
        <w:rPr>
          <w:rFonts w:asciiTheme="majorHAnsi" w:hAnsiTheme="majorHAnsi"/>
          <w:sz w:val="22"/>
          <w:szCs w:val="22"/>
        </w:rPr>
        <w:t>umocnieniu</w:t>
      </w:r>
      <w:r w:rsidR="009F6963" w:rsidRPr="00DD6045">
        <w:rPr>
          <w:rFonts w:asciiTheme="majorHAnsi" w:hAnsiTheme="majorHAnsi"/>
          <w:sz w:val="22"/>
          <w:szCs w:val="22"/>
        </w:rPr>
        <w:t xml:space="preserve"> pozycji negocjacyjnej względem kluczowych </w:t>
      </w:r>
      <w:r w:rsidR="00F870C8" w:rsidRPr="00DD6045">
        <w:rPr>
          <w:rFonts w:asciiTheme="majorHAnsi" w:hAnsiTheme="majorHAnsi"/>
          <w:sz w:val="22"/>
          <w:szCs w:val="22"/>
        </w:rPr>
        <w:t>dostawców</w:t>
      </w:r>
      <w:r w:rsidR="00942DFC">
        <w:rPr>
          <w:rFonts w:asciiTheme="majorHAnsi" w:hAnsiTheme="majorHAnsi"/>
          <w:sz w:val="22"/>
          <w:szCs w:val="22"/>
        </w:rPr>
        <w:t xml:space="preserve">. </w:t>
      </w:r>
      <w:r w:rsidR="00F870C8" w:rsidRPr="00DD6045">
        <w:rPr>
          <w:rFonts w:asciiTheme="majorHAnsi" w:hAnsiTheme="majorHAnsi"/>
          <w:sz w:val="22"/>
          <w:szCs w:val="22"/>
        </w:rPr>
        <w:t>Pozytywne</w:t>
      </w:r>
      <w:r w:rsidR="009F6963" w:rsidRPr="00DD6045">
        <w:rPr>
          <w:rFonts w:asciiTheme="majorHAnsi" w:hAnsiTheme="majorHAnsi"/>
          <w:sz w:val="22"/>
          <w:szCs w:val="22"/>
        </w:rPr>
        <w:t xml:space="preserve"> efekt</w:t>
      </w:r>
      <w:r w:rsidR="00F74A77">
        <w:rPr>
          <w:rFonts w:asciiTheme="majorHAnsi" w:hAnsiTheme="majorHAnsi"/>
          <w:sz w:val="22"/>
          <w:szCs w:val="22"/>
        </w:rPr>
        <w:t>y</w:t>
      </w:r>
      <w:r w:rsidR="009F6963" w:rsidRPr="00DD6045">
        <w:rPr>
          <w:rFonts w:asciiTheme="majorHAnsi" w:hAnsiTheme="majorHAnsi"/>
          <w:sz w:val="22"/>
          <w:szCs w:val="22"/>
        </w:rPr>
        <w:t xml:space="preserve"> tych działań spodziewa</w:t>
      </w:r>
      <w:r w:rsidR="00F870C8" w:rsidRPr="00DD6045">
        <w:rPr>
          <w:rFonts w:asciiTheme="majorHAnsi" w:hAnsiTheme="majorHAnsi"/>
          <w:sz w:val="22"/>
          <w:szCs w:val="22"/>
        </w:rPr>
        <w:t>ne są na</w:t>
      </w:r>
      <w:r w:rsidR="00C53A93" w:rsidRPr="00DD6045">
        <w:rPr>
          <w:rFonts w:asciiTheme="majorHAnsi" w:hAnsiTheme="majorHAnsi"/>
          <w:sz w:val="22"/>
          <w:szCs w:val="22"/>
        </w:rPr>
        <w:t xml:space="preserve"> przełomie dwóch pierwszych kwartałów br.</w:t>
      </w:r>
      <w:r w:rsidR="009F6963" w:rsidRPr="00DD6045">
        <w:rPr>
          <w:rFonts w:asciiTheme="majorHAnsi" w:hAnsiTheme="majorHAnsi"/>
          <w:sz w:val="22"/>
          <w:szCs w:val="22"/>
        </w:rPr>
        <w:t xml:space="preserve"> </w:t>
      </w:r>
      <w:r w:rsidR="004048F8">
        <w:rPr>
          <w:rFonts w:asciiTheme="majorHAnsi" w:hAnsiTheme="majorHAnsi"/>
          <w:sz w:val="22"/>
          <w:szCs w:val="22"/>
        </w:rPr>
        <w:t xml:space="preserve">kiedy zostaną zrealizowane </w:t>
      </w:r>
      <w:r w:rsidR="00175B91">
        <w:rPr>
          <w:rFonts w:asciiTheme="majorHAnsi" w:hAnsiTheme="majorHAnsi"/>
          <w:sz w:val="22"/>
          <w:szCs w:val="22"/>
        </w:rPr>
        <w:t xml:space="preserve">projekty </w:t>
      </w:r>
      <w:r w:rsidR="004048F8">
        <w:rPr>
          <w:rFonts w:asciiTheme="majorHAnsi" w:hAnsiTheme="majorHAnsi"/>
          <w:sz w:val="22"/>
          <w:szCs w:val="22"/>
        </w:rPr>
        <w:t xml:space="preserve">przesunięte </w:t>
      </w:r>
      <w:r w:rsidR="00175B91">
        <w:rPr>
          <w:rFonts w:asciiTheme="majorHAnsi" w:hAnsiTheme="majorHAnsi"/>
          <w:sz w:val="22"/>
          <w:szCs w:val="22"/>
        </w:rPr>
        <w:t>na </w:t>
      </w:r>
      <w:r w:rsidR="004048F8">
        <w:rPr>
          <w:rFonts w:asciiTheme="majorHAnsi" w:hAnsiTheme="majorHAnsi"/>
          <w:sz w:val="22"/>
          <w:szCs w:val="22"/>
        </w:rPr>
        <w:t>2020 rok, a struktura zapasów Emitenta w całości odzwierciedli efekt negocjacji</w:t>
      </w:r>
      <w:r w:rsidR="00175B91">
        <w:rPr>
          <w:rFonts w:asciiTheme="majorHAnsi" w:hAnsiTheme="majorHAnsi"/>
          <w:sz w:val="22"/>
          <w:szCs w:val="22"/>
        </w:rPr>
        <w:t>.</w:t>
      </w:r>
    </w:p>
    <w:p w14:paraId="31CEB38A" w14:textId="61CA8561" w:rsidR="004048F8" w:rsidRDefault="004048F8" w:rsidP="00DD60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C70AD75" w14:textId="217CEDFE" w:rsidR="0027570F" w:rsidRPr="006164DA" w:rsidRDefault="00F24B02" w:rsidP="00175B9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164DA">
        <w:rPr>
          <w:rFonts w:asciiTheme="majorHAnsi" w:hAnsiTheme="majorHAnsi"/>
          <w:sz w:val="22"/>
          <w:szCs w:val="22"/>
        </w:rPr>
        <w:t>Wynik EBITDA w IV kw</w:t>
      </w:r>
      <w:r w:rsidR="00C53A93" w:rsidRPr="006164DA">
        <w:rPr>
          <w:rFonts w:asciiTheme="majorHAnsi" w:hAnsiTheme="majorHAnsi"/>
          <w:sz w:val="22"/>
          <w:szCs w:val="22"/>
        </w:rPr>
        <w:t>artale</w:t>
      </w:r>
      <w:r w:rsidRPr="006164DA">
        <w:rPr>
          <w:rFonts w:asciiTheme="majorHAnsi" w:hAnsiTheme="majorHAnsi"/>
          <w:sz w:val="22"/>
          <w:szCs w:val="22"/>
        </w:rPr>
        <w:t xml:space="preserve"> </w:t>
      </w:r>
      <w:r w:rsidRPr="00BF2969">
        <w:rPr>
          <w:rFonts w:asciiTheme="majorHAnsi" w:hAnsiTheme="majorHAnsi"/>
          <w:sz w:val="22"/>
          <w:szCs w:val="22"/>
        </w:rPr>
        <w:t xml:space="preserve">2019 r. </w:t>
      </w:r>
      <w:r w:rsidR="00942DFC" w:rsidRPr="00BF2969">
        <w:rPr>
          <w:rFonts w:asciiTheme="majorHAnsi" w:hAnsiTheme="majorHAnsi"/>
          <w:sz w:val="22"/>
          <w:szCs w:val="22"/>
        </w:rPr>
        <w:t xml:space="preserve">był ujemny i wyniósł </w:t>
      </w:r>
      <w:r w:rsidR="00C53A93" w:rsidRPr="00BF2969">
        <w:rPr>
          <w:rFonts w:asciiTheme="majorHAnsi" w:hAnsiTheme="majorHAnsi"/>
          <w:sz w:val="22"/>
          <w:szCs w:val="22"/>
        </w:rPr>
        <w:t xml:space="preserve"> </w:t>
      </w:r>
      <w:r w:rsidR="00942DFC" w:rsidRPr="00BF2969">
        <w:rPr>
          <w:rFonts w:asciiTheme="majorHAnsi" w:hAnsiTheme="majorHAnsi"/>
          <w:sz w:val="22"/>
          <w:szCs w:val="22"/>
        </w:rPr>
        <w:t xml:space="preserve">- </w:t>
      </w:r>
      <w:r w:rsidRPr="00BF2969">
        <w:rPr>
          <w:rFonts w:asciiTheme="majorHAnsi" w:hAnsiTheme="majorHAnsi"/>
          <w:sz w:val="22"/>
          <w:szCs w:val="22"/>
        </w:rPr>
        <w:t>1,39 mln zł, natomiast w okresie całego 2019 roku wyniósł on 4,88 mln zł. Marża EBITDA w analizowanym okresie</w:t>
      </w:r>
      <w:bookmarkStart w:id="0" w:name="_GoBack"/>
      <w:bookmarkEnd w:id="0"/>
      <w:r w:rsidRPr="00BF2969">
        <w:rPr>
          <w:rFonts w:asciiTheme="majorHAnsi" w:hAnsiTheme="majorHAnsi"/>
          <w:sz w:val="22"/>
          <w:szCs w:val="22"/>
        </w:rPr>
        <w:t xml:space="preserve"> wyniosła </w:t>
      </w:r>
      <w:r w:rsidR="00904E56" w:rsidRPr="00BF2969">
        <w:rPr>
          <w:rFonts w:asciiTheme="majorHAnsi" w:hAnsiTheme="majorHAnsi"/>
          <w:sz w:val="22"/>
          <w:szCs w:val="22"/>
        </w:rPr>
        <w:t>-2,9</w:t>
      </w:r>
      <w:r w:rsidRPr="00BF2969">
        <w:rPr>
          <w:rFonts w:asciiTheme="majorHAnsi" w:hAnsiTheme="majorHAnsi"/>
          <w:sz w:val="22"/>
          <w:szCs w:val="22"/>
        </w:rPr>
        <w:t xml:space="preserve"> proc. i była </w:t>
      </w:r>
      <w:r w:rsidR="00904E56" w:rsidRPr="00BF2969">
        <w:rPr>
          <w:rFonts w:asciiTheme="majorHAnsi" w:hAnsiTheme="majorHAnsi"/>
          <w:sz w:val="22"/>
          <w:szCs w:val="22"/>
        </w:rPr>
        <w:t>niższa o 14</w:t>
      </w:r>
      <w:r w:rsidR="00942DFC" w:rsidRPr="00BF2969">
        <w:rPr>
          <w:rFonts w:asciiTheme="majorHAnsi" w:hAnsiTheme="majorHAnsi"/>
          <w:sz w:val="22"/>
          <w:szCs w:val="22"/>
        </w:rPr>
        <w:t xml:space="preserve"> </w:t>
      </w:r>
      <w:r w:rsidRPr="00BF2969">
        <w:rPr>
          <w:rFonts w:asciiTheme="majorHAnsi" w:hAnsiTheme="majorHAnsi"/>
          <w:sz w:val="22"/>
          <w:szCs w:val="22"/>
        </w:rPr>
        <w:t>pp. w porównaniu z IV kwartałem 201</w:t>
      </w:r>
      <w:r w:rsidR="00175B91" w:rsidRPr="00BF2969">
        <w:rPr>
          <w:rFonts w:asciiTheme="majorHAnsi" w:hAnsiTheme="majorHAnsi"/>
          <w:sz w:val="22"/>
          <w:szCs w:val="22"/>
        </w:rPr>
        <w:t>8</w:t>
      </w:r>
      <w:r w:rsidRPr="00BF2969">
        <w:rPr>
          <w:rFonts w:asciiTheme="majorHAnsi" w:hAnsiTheme="majorHAnsi"/>
          <w:sz w:val="22"/>
          <w:szCs w:val="22"/>
        </w:rPr>
        <w:t xml:space="preserve"> r</w:t>
      </w:r>
      <w:r w:rsidR="00175B91" w:rsidRPr="00BF2969">
        <w:rPr>
          <w:rFonts w:asciiTheme="majorHAnsi" w:hAnsiTheme="majorHAnsi"/>
          <w:sz w:val="22"/>
          <w:szCs w:val="22"/>
        </w:rPr>
        <w:t>oku</w:t>
      </w:r>
      <w:r w:rsidRPr="00BF2969">
        <w:rPr>
          <w:rFonts w:asciiTheme="majorHAnsi" w:hAnsiTheme="majorHAnsi"/>
          <w:sz w:val="22"/>
          <w:szCs w:val="22"/>
        </w:rPr>
        <w:t>.</w:t>
      </w:r>
      <w:r w:rsidRPr="006164DA">
        <w:rPr>
          <w:rFonts w:asciiTheme="majorHAnsi" w:hAnsiTheme="majorHAnsi"/>
          <w:sz w:val="22"/>
          <w:szCs w:val="22"/>
        </w:rPr>
        <w:t xml:space="preserve"> </w:t>
      </w:r>
    </w:p>
    <w:p w14:paraId="74470D9A" w14:textId="77777777" w:rsidR="00942DFC" w:rsidRPr="006164DA" w:rsidRDefault="00942DFC" w:rsidP="00DD604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4E1C760" w14:textId="146EB3E4" w:rsidR="00942DFC" w:rsidRPr="006164DA" w:rsidRDefault="006164DA" w:rsidP="00175B9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164DA">
        <w:rPr>
          <w:rFonts w:asciiTheme="majorHAnsi" w:hAnsiTheme="majorHAnsi" w:cs="Calibri"/>
          <w:sz w:val="22"/>
          <w:szCs w:val="22"/>
        </w:rPr>
        <w:t>Ostateczne wartości danych finansowych opublikowane zostaną 13 lutego br. w  raporcie okresowym za IV kwartał 2019 roku.</w:t>
      </w:r>
    </w:p>
    <w:p w14:paraId="71775078" w14:textId="77777777" w:rsidR="00E25118" w:rsidRPr="004048F8" w:rsidRDefault="00E25118" w:rsidP="00DD6045">
      <w:pPr>
        <w:spacing w:line="276" w:lineRule="auto"/>
        <w:rPr>
          <w:rFonts w:asciiTheme="majorHAnsi" w:hAnsiTheme="majorHAnsi"/>
          <w:sz w:val="14"/>
          <w:szCs w:val="14"/>
          <w:highlight w:val="yellow"/>
        </w:rPr>
      </w:pPr>
    </w:p>
    <w:p w14:paraId="6015566E" w14:textId="77777777" w:rsidR="00DD6045" w:rsidRPr="0024595E" w:rsidRDefault="00DD6045" w:rsidP="00DD6045">
      <w:pPr>
        <w:spacing w:line="276" w:lineRule="auto"/>
        <w:rPr>
          <w:rFonts w:asciiTheme="majorHAnsi" w:hAnsiTheme="majorHAnsi"/>
          <w:sz w:val="18"/>
          <w:szCs w:val="18"/>
          <w:highlight w:val="yellow"/>
        </w:rPr>
      </w:pPr>
    </w:p>
    <w:tbl>
      <w:tblPr>
        <w:tblW w:w="104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276"/>
        <w:gridCol w:w="1701"/>
        <w:gridCol w:w="1276"/>
        <w:gridCol w:w="992"/>
        <w:gridCol w:w="200"/>
      </w:tblGrid>
      <w:tr w:rsidR="0024595E" w:rsidRPr="0024595E" w14:paraId="144AF91B" w14:textId="77777777" w:rsidTr="0024595E">
        <w:trPr>
          <w:gridAfter w:val="1"/>
          <w:wAfter w:w="200" w:type="dxa"/>
          <w:trHeight w:val="312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226" w14:textId="7F30DAA4" w:rsidR="0024595E" w:rsidRPr="0024595E" w:rsidRDefault="0024595E" w:rsidP="0024595E">
            <w:pP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Tab. 1 Szacunkowe skonsolidowane wyniki IV kwartału 2019 r.</w:t>
            </w:r>
          </w:p>
          <w:p w14:paraId="36451BD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595E" w:rsidRPr="0024595E" w14:paraId="588A8175" w14:textId="77777777" w:rsidTr="0024595E">
        <w:trPr>
          <w:trHeight w:val="408"/>
        </w:trPr>
        <w:tc>
          <w:tcPr>
            <w:tcW w:w="1986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1B43320A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 xml:space="preserve">[tys. zł, %, </w:t>
            </w:r>
            <w:proofErr w:type="spellStart"/>
            <w:r w:rsidRPr="0024595E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pp</w:t>
            </w:r>
            <w:proofErr w:type="spellEnd"/>
            <w:r w:rsidRPr="0024595E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7BE36A1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IV kw. 2016 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5E691678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IV kw. 2017 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008FE30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IV kw. 2018 </w:t>
            </w:r>
          </w:p>
        </w:tc>
        <w:tc>
          <w:tcPr>
            <w:tcW w:w="1701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2B05001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IV kw. 2019 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vAlign w:val="center"/>
            <w:hideMark/>
          </w:tcPr>
          <w:p w14:paraId="79E18B48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zmiana IV kw. 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br/>
              <w:t>2019/2018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FF0000"/>
            <w:vAlign w:val="center"/>
            <w:hideMark/>
          </w:tcPr>
          <w:p w14:paraId="5CA94A72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CAGR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br/>
              <w:t>2016-2019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CE4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595E" w:rsidRPr="0024595E" w14:paraId="68532C3B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54954A48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E4F91C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34 274,56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D97A50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39 281,01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DA1F5F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51 197,20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5967214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47 249,00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474CBB4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-7,7%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FB79E97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11,3%</w:t>
            </w: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DC4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595E" w:rsidRPr="0024595E" w14:paraId="11C70281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59D4C027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1DC8783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13 585,52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447834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18 870,00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684411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18 795,13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6AC0EFD5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16 597,00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6BDA33C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-11,7%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42BFB0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6,9%</w:t>
            </w: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6C6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595E" w:rsidRPr="0024595E" w14:paraId="229820C9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1AB7C7A9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7736C1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39,6%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206BC6B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48,0%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7773DB3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36,7%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5486B3EC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35,1%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EB151E8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-1,6pp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39FFDB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ED16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4595E" w:rsidRPr="0024595E" w14:paraId="0FAB803F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412E96E9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36044F5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4 665,96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F423C74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5 016,81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B15F29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5 706,93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1409BEB7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-1 393,00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4E63D2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FC6119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7559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595E" w:rsidRPr="0024595E" w14:paraId="28EF63A9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4163AB1B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7A809D2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13,6%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48D7D0D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12,8%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3034BAA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11,1%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607AA0FB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-2,9%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B7EB07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-14,1pp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645E6E2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3169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4595E" w:rsidRPr="0024595E" w14:paraId="7CF7B646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02CF0E0F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Zysk operacyjny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C5B09B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3 377,81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B91DC5A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3 713,83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5BF2BC2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3 652,58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61FE7AC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-3 646,00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AB830AD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73052A4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F5E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595E" w:rsidRPr="0024595E" w14:paraId="60F99333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4618A8AB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B0B911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9,9%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5CA31EA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9,5%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8E9C2EF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7,1%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3AE83E5D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-7,7%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AAD5338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-14,9pp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65E789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C66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4595E" w:rsidRPr="0024595E" w14:paraId="4E1BB645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6190E5D0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Zysk netto**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ECD580C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1 207,55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6B78505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2 830,81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97707A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-857,34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666D6ECD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-5 104,00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F40A64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E38030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17F5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4595E" w:rsidRPr="0024595E" w14:paraId="2A33BF81" w14:textId="77777777" w:rsidTr="0024595E">
        <w:trPr>
          <w:trHeight w:val="288"/>
        </w:trPr>
        <w:tc>
          <w:tcPr>
            <w:tcW w:w="198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182C4B9D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65D71A4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3,5%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9DD95D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7,2%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4CA3D49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-1,7%</w:t>
            </w: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1D9DEDD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-10,8%</w:t>
            </w: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EB92BAA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-9,1pp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0CCF033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D64" w14:textId="77777777" w:rsidR="0024595E" w:rsidRPr="0024595E" w:rsidRDefault="0024595E" w:rsidP="0024595E">
            <w:pPr>
              <w:jc w:val="right"/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4595E" w:rsidRPr="0024595E" w14:paraId="7CA1844F" w14:textId="77777777" w:rsidTr="0024595E">
        <w:trPr>
          <w:trHeight w:val="492"/>
        </w:trPr>
        <w:tc>
          <w:tcPr>
            <w:tcW w:w="3545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4D48" w14:textId="77777777" w:rsidR="0024595E" w:rsidRPr="0024595E" w:rsidRDefault="0024595E" w:rsidP="0024595E">
            <w:pPr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</w:p>
          <w:p w14:paraId="1E467A1A" w14:textId="77777777" w:rsidR="0024595E" w:rsidRPr="0024595E" w:rsidRDefault="0024595E" w:rsidP="0024595E">
            <w:pPr>
              <w:spacing w:line="276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24595E">
              <w:rPr>
                <w:rFonts w:asciiTheme="majorHAnsi" w:hAnsiTheme="majorHAnsi" w:cs="Calibri"/>
                <w:sz w:val="18"/>
                <w:szCs w:val="18"/>
              </w:rPr>
              <w:t>** dla akcjonariuszy jednostki dominującej</w:t>
            </w:r>
          </w:p>
          <w:p w14:paraId="10C700CE" w14:textId="77777777" w:rsidR="0024595E" w:rsidRPr="0024595E" w:rsidRDefault="0024595E" w:rsidP="0024595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8BA5" w14:textId="77777777" w:rsidR="0024595E" w:rsidRPr="0024595E" w:rsidRDefault="0024595E" w:rsidP="002459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0440" w14:textId="77777777" w:rsidR="0024595E" w:rsidRPr="0024595E" w:rsidRDefault="0024595E" w:rsidP="002459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AD6C" w14:textId="77777777" w:rsidR="0024595E" w:rsidRPr="0024595E" w:rsidRDefault="0024595E" w:rsidP="002459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51D" w14:textId="77777777" w:rsidR="0024595E" w:rsidRPr="0024595E" w:rsidRDefault="0024595E" w:rsidP="0024595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22C" w14:textId="77777777" w:rsidR="0024595E" w:rsidRPr="0024595E" w:rsidRDefault="0024595E" w:rsidP="0024595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664" w14:textId="77777777" w:rsidR="0024595E" w:rsidRPr="0024595E" w:rsidRDefault="0024595E" w:rsidP="0024595E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BA89A06" w14:textId="77777777" w:rsidR="0024595E" w:rsidRPr="0024595E" w:rsidRDefault="0024595E" w:rsidP="0024595E">
      <w:pPr>
        <w:rPr>
          <w:rFonts w:asciiTheme="majorHAnsi" w:hAnsiTheme="majorHAnsi"/>
          <w:sz w:val="18"/>
          <w:szCs w:val="18"/>
        </w:rPr>
      </w:pPr>
    </w:p>
    <w:p w14:paraId="7ED42551" w14:textId="7E29ACEC" w:rsidR="0024595E" w:rsidRPr="0024595E" w:rsidRDefault="0024595E" w:rsidP="0024595E">
      <w:pPr>
        <w:ind w:left="-426"/>
        <w:rPr>
          <w:rFonts w:asciiTheme="majorHAnsi" w:hAnsiTheme="majorHAnsi" w:cs="Arial"/>
          <w:bCs/>
          <w:color w:val="000000"/>
          <w:sz w:val="18"/>
          <w:szCs w:val="18"/>
        </w:rPr>
      </w:pPr>
      <w:r w:rsidRPr="0024595E">
        <w:rPr>
          <w:rFonts w:asciiTheme="majorHAnsi" w:hAnsiTheme="majorHAnsi"/>
          <w:sz w:val="18"/>
          <w:szCs w:val="18"/>
        </w:rPr>
        <w:t xml:space="preserve">Tab. 2 </w:t>
      </w:r>
      <w:r w:rsidRPr="0024595E">
        <w:rPr>
          <w:rFonts w:asciiTheme="majorHAnsi" w:hAnsiTheme="majorHAnsi" w:cs="Arial"/>
          <w:bCs/>
          <w:color w:val="000000"/>
          <w:sz w:val="18"/>
          <w:szCs w:val="18"/>
        </w:rPr>
        <w:t>Szacunkowe skonsolidowane wyniki narastająco za cztery kwartały</w:t>
      </w:r>
    </w:p>
    <w:p w14:paraId="62C8E8C8" w14:textId="77777777" w:rsidR="00DD6045" w:rsidRPr="0024595E" w:rsidRDefault="00DD6045" w:rsidP="0024595E">
      <w:pPr>
        <w:rPr>
          <w:highlight w:val="yellow"/>
        </w:rPr>
      </w:pPr>
    </w:p>
    <w:tbl>
      <w:tblPr>
        <w:tblW w:w="104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590"/>
        <w:gridCol w:w="1445"/>
        <w:gridCol w:w="1301"/>
        <w:gridCol w:w="1734"/>
        <w:gridCol w:w="1301"/>
        <w:gridCol w:w="1011"/>
      </w:tblGrid>
      <w:tr w:rsidR="0024595E" w:rsidRPr="0024595E" w14:paraId="26878C2C" w14:textId="77777777" w:rsidTr="0024595E">
        <w:trPr>
          <w:trHeight w:val="408"/>
        </w:trPr>
        <w:tc>
          <w:tcPr>
            <w:tcW w:w="2025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58D131F7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 xml:space="preserve">[tys. zł, %, </w:t>
            </w:r>
            <w:proofErr w:type="spellStart"/>
            <w:r w:rsidRPr="0024595E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pp</w:t>
            </w:r>
            <w:proofErr w:type="spellEnd"/>
            <w:r w:rsidRPr="0024595E">
              <w:rPr>
                <w:rFonts w:asciiTheme="majorHAnsi" w:hAnsiTheme="majorHAnsi" w:cs="Arial"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590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6C76BC2D" w14:textId="0C5BE3AB" w:rsidR="0024595E" w:rsidRPr="0024595E" w:rsidRDefault="00805660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I-</w:t>
            </w:r>
            <w:r w:rsidR="0024595E"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IV kw. 2016 </w:t>
            </w:r>
          </w:p>
        </w:tc>
        <w:tc>
          <w:tcPr>
            <w:tcW w:w="1445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221DF652" w14:textId="1151B36B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05660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I-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IV kw. 2017 </w:t>
            </w:r>
          </w:p>
        </w:tc>
        <w:tc>
          <w:tcPr>
            <w:tcW w:w="1301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727F77E2" w14:textId="32963E49" w:rsidR="0024595E" w:rsidRPr="0024595E" w:rsidRDefault="00805660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I-</w:t>
            </w:r>
            <w:r w:rsidR="0024595E"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IV kw. 2018 </w:t>
            </w:r>
          </w:p>
        </w:tc>
        <w:tc>
          <w:tcPr>
            <w:tcW w:w="1734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noWrap/>
            <w:vAlign w:val="center"/>
            <w:hideMark/>
          </w:tcPr>
          <w:p w14:paraId="1F271FFA" w14:textId="5F60D7A3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05660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I-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IV kw. 2019 </w:t>
            </w:r>
          </w:p>
        </w:tc>
        <w:tc>
          <w:tcPr>
            <w:tcW w:w="1301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0000"/>
            <w:vAlign w:val="center"/>
            <w:hideMark/>
          </w:tcPr>
          <w:p w14:paraId="3B026B80" w14:textId="4D4049BA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zmiana </w:t>
            </w:r>
            <w:r w:rsidR="00805660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I-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 xml:space="preserve">IV kw. 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br/>
              <w:t>2019/2018</w:t>
            </w:r>
          </w:p>
        </w:tc>
        <w:tc>
          <w:tcPr>
            <w:tcW w:w="1011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FF0000"/>
            <w:vAlign w:val="center"/>
            <w:hideMark/>
          </w:tcPr>
          <w:p w14:paraId="66E2D162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t>CAGR</w:t>
            </w:r>
            <w:r w:rsidRPr="0024595E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</w:rPr>
              <w:br/>
              <w:t>2016-2019</w:t>
            </w:r>
          </w:p>
        </w:tc>
      </w:tr>
      <w:tr w:rsidR="0024595E" w:rsidRPr="0024595E" w14:paraId="6AB0EADC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39193938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Przychody ze sprzedaży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7B4ECE4" w14:textId="506FE1A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120 857,00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2F0AE9D" w14:textId="01DAE66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142 305,00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66770F6" w14:textId="76E048EA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170 793,00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3965627D" w14:textId="03E086A3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170 653,00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1801614" w14:textId="5DDFA66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-0,1%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9DBA761" w14:textId="3B0150AC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12,2%</w:t>
            </w:r>
          </w:p>
        </w:tc>
      </w:tr>
      <w:tr w:rsidR="0024595E" w:rsidRPr="0024595E" w14:paraId="744DD388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202EEF39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Zysk brutto na sprzedaży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39C3214" w14:textId="6F30B46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47 230,00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A39F0F9" w14:textId="45C4A82C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61 865,00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BDE53C6" w14:textId="155A31A5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70 718,00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1B40D289" w14:textId="5799D2E3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65 425,00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0D99223" w14:textId="67FE8A3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-7,5%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5C7FD50" w14:textId="3C80A43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11,5%</w:t>
            </w:r>
          </w:p>
        </w:tc>
      </w:tr>
      <w:tr w:rsidR="0024595E" w:rsidRPr="0024595E" w14:paraId="4C3D8BE2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68B8F0B4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brutto na sprzedaży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9F7239A" w14:textId="3A86EE53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39,1%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91D883D" w14:textId="24747BC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43,5%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D0055F7" w14:textId="402F4B8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41,4%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50EEBB59" w14:textId="433C26BB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38,3%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1961E45" w14:textId="2B08410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-3,1pp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7142E36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4595E" w:rsidRPr="0024595E" w14:paraId="124591D5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702C34C4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AF130F9" w14:textId="6571C47C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9 948,00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1F09E58" w14:textId="23BD38F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12 298,00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6F7605F" w14:textId="71704F0E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15 854,00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1B390484" w14:textId="75A6ACB8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4 882,00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56EF3EC" w14:textId="0C43B7C2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-69,2%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C9098E0" w14:textId="3D6A42C1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-21,1%</w:t>
            </w:r>
          </w:p>
        </w:tc>
      </w:tr>
      <w:tr w:rsidR="0024595E" w:rsidRPr="0024595E" w14:paraId="79177FF0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11F864A9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EBITDA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13A576D" w14:textId="588BBD2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8,2%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638B4A2" w14:textId="2D3F33F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8,6%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87681FF" w14:textId="7C95B8F4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9,3%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3565DC18" w14:textId="163D186A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2,9%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FB95100" w14:textId="1CED4B98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-6,4pp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3651D08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4595E" w:rsidRPr="0024595E" w14:paraId="035D5146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159417B2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Zysk operacyjny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D5DC4BA" w14:textId="03E5A2B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5 495,00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41511532" w14:textId="6CBA966D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7 261,00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EA7024B" w14:textId="16E5660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9 011,00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480FDD00" w14:textId="40DE60DE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-3 430,00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39E161A" w14:textId="1A2B6CEE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2C2B9C4" w14:textId="166D5DA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</w:tr>
      <w:tr w:rsidR="0024595E" w:rsidRPr="0024595E" w14:paraId="5C5CC30D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2E039F55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operacyjna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C04537D" w14:textId="1BA137BB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4,5%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D03C847" w14:textId="4D29B6CD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5,1%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05271022" w14:textId="7986BD2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5,3%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46A28EA4" w14:textId="2E36EDA1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-2,0%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546FC72" w14:textId="0EFE9D29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-7,3pp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F4F9D91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24595E" w:rsidRPr="0024595E" w14:paraId="2D482A60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6DB3C1D5" w14:textId="77777777" w:rsidR="0024595E" w:rsidRPr="0024595E" w:rsidRDefault="0024595E" w:rsidP="0024595E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color w:val="000000"/>
                <w:sz w:val="18"/>
                <w:szCs w:val="18"/>
              </w:rPr>
              <w:t>Zysk netto**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41FE8BD" w14:textId="12E3B935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3 009,00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773064E9" w14:textId="5456C331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7 091,00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169C3F13" w14:textId="41127E7E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4 153,00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032C7C45" w14:textId="0C47102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-4 686,00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5CA817AA" w14:textId="2345639D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7A0C23B" w14:textId="7FA51753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</w:t>
            </w:r>
          </w:p>
        </w:tc>
      </w:tr>
      <w:tr w:rsidR="0024595E" w:rsidRPr="0024595E" w14:paraId="0A7919A9" w14:textId="77777777" w:rsidTr="0024595E">
        <w:trPr>
          <w:trHeight w:val="288"/>
        </w:trPr>
        <w:tc>
          <w:tcPr>
            <w:tcW w:w="202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14:paraId="448E6FA7" w14:textId="77777777" w:rsidR="0024595E" w:rsidRPr="0024595E" w:rsidRDefault="0024595E" w:rsidP="0024595E">
            <w:pPr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000000"/>
                <w:sz w:val="18"/>
                <w:szCs w:val="18"/>
              </w:rPr>
              <w:t>Marża netto</w:t>
            </w:r>
          </w:p>
        </w:tc>
        <w:tc>
          <w:tcPr>
            <w:tcW w:w="15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75E3E26" w14:textId="4544E98A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2,5%</w:t>
            </w:r>
          </w:p>
        </w:tc>
        <w:tc>
          <w:tcPr>
            <w:tcW w:w="14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5830188" w14:textId="1F8B1E26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5,0%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6DDEB46A" w14:textId="7D8B8A00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2,4%</w:t>
            </w:r>
          </w:p>
        </w:tc>
        <w:tc>
          <w:tcPr>
            <w:tcW w:w="173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000000" w:fill="D9D9D9" w:themeFill="background1" w:themeFillShade="D9"/>
            <w:noWrap/>
            <w:vAlign w:val="center"/>
          </w:tcPr>
          <w:p w14:paraId="13BC49EF" w14:textId="1D44949F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sz w:val="18"/>
                <w:szCs w:val="18"/>
              </w:rPr>
              <w:t>-2,7%</w:t>
            </w:r>
          </w:p>
        </w:tc>
        <w:tc>
          <w:tcPr>
            <w:tcW w:w="13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396D2061" w14:textId="380B3602" w:rsidR="0024595E" w:rsidRPr="0024595E" w:rsidRDefault="0024595E" w:rsidP="0024595E">
            <w:pPr>
              <w:jc w:val="center"/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</w:pPr>
            <w:r w:rsidRPr="0024595E">
              <w:rPr>
                <w:rFonts w:asciiTheme="majorHAnsi" w:hAnsiTheme="majorHAnsi" w:cs="Arial"/>
                <w:i/>
                <w:iCs/>
                <w:color w:val="808080"/>
                <w:sz w:val="18"/>
                <w:szCs w:val="18"/>
              </w:rPr>
              <w:t>-5,2pp</w:t>
            </w:r>
          </w:p>
        </w:tc>
        <w:tc>
          <w:tcPr>
            <w:tcW w:w="10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</w:tcPr>
          <w:p w14:paraId="2A7FF8D0" w14:textId="77777777" w:rsidR="0024595E" w:rsidRPr="0024595E" w:rsidRDefault="0024595E" w:rsidP="0024595E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C022B0B" w14:textId="77777777" w:rsidR="00DD6045" w:rsidRPr="0024595E" w:rsidRDefault="00DD6045" w:rsidP="0024595E">
      <w:pPr>
        <w:rPr>
          <w:highlight w:val="yellow"/>
        </w:rPr>
      </w:pPr>
    </w:p>
    <w:p w14:paraId="62B9FF36" w14:textId="77777777" w:rsidR="0024595E" w:rsidRPr="0009449F" w:rsidRDefault="0024595E" w:rsidP="0024595E">
      <w:pPr>
        <w:spacing w:line="276" w:lineRule="auto"/>
        <w:rPr>
          <w:rFonts w:ascii="Calibri" w:hAnsi="Calibri" w:cs="Calibri"/>
          <w:sz w:val="18"/>
          <w:szCs w:val="22"/>
        </w:rPr>
      </w:pPr>
      <w:r w:rsidRPr="0009449F">
        <w:rPr>
          <w:rFonts w:ascii="Calibri" w:hAnsi="Calibri" w:cs="Calibri"/>
          <w:sz w:val="18"/>
          <w:szCs w:val="22"/>
        </w:rPr>
        <w:t>** dla akcjonariuszy jednostki dominującej</w:t>
      </w:r>
    </w:p>
    <w:p w14:paraId="095707FA" w14:textId="77777777" w:rsidR="00E25118" w:rsidRPr="00DD6045" w:rsidRDefault="00E25118" w:rsidP="00DD6045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F13B8F7" w14:textId="77777777" w:rsidR="00F523E3" w:rsidRPr="00DD6045" w:rsidRDefault="00F523E3" w:rsidP="00DD6045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DD6045">
        <w:rPr>
          <w:rFonts w:asciiTheme="majorHAnsi" w:hAnsiTheme="majorHAnsi" w:cs="Calibri"/>
          <w:b/>
          <w:bCs/>
          <w:sz w:val="22"/>
          <w:szCs w:val="22"/>
        </w:rPr>
        <w:t>Kontakt dla mediów i inwestorów:</w:t>
      </w:r>
    </w:p>
    <w:p w14:paraId="72ABAC80" w14:textId="77777777" w:rsidR="00F523E3" w:rsidRPr="00DD6045" w:rsidRDefault="00F523E3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3F05A35C" w14:textId="2449CF86" w:rsidR="00F523E3" w:rsidRPr="00DD6045" w:rsidRDefault="00F523E3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DD6045">
        <w:rPr>
          <w:rFonts w:asciiTheme="majorHAnsi" w:hAnsiTheme="majorHAnsi" w:cs="Calibri"/>
          <w:b/>
          <w:bCs/>
          <w:sz w:val="22"/>
          <w:szCs w:val="22"/>
        </w:rPr>
        <w:t>Monika Bartoszak</w:t>
      </w:r>
      <w:r w:rsidRPr="00DD6045">
        <w:rPr>
          <w:rFonts w:asciiTheme="majorHAnsi" w:hAnsiTheme="majorHAnsi" w:cs="Calibri"/>
          <w:b/>
          <w:bCs/>
          <w:sz w:val="22"/>
          <w:szCs w:val="22"/>
        </w:rPr>
        <w:tab/>
      </w:r>
      <w:r w:rsidRPr="00DD6045">
        <w:rPr>
          <w:rFonts w:asciiTheme="majorHAnsi" w:hAnsiTheme="majorHAnsi" w:cs="Calibri"/>
          <w:b/>
          <w:bCs/>
          <w:sz w:val="22"/>
          <w:szCs w:val="22"/>
        </w:rPr>
        <w:tab/>
      </w:r>
      <w:r w:rsidRPr="00DD6045">
        <w:rPr>
          <w:rFonts w:asciiTheme="majorHAnsi" w:hAnsiTheme="majorHAnsi" w:cs="Calibri"/>
          <w:b/>
          <w:bCs/>
          <w:sz w:val="22"/>
          <w:szCs w:val="22"/>
        </w:rPr>
        <w:tab/>
      </w:r>
      <w:r w:rsidRPr="00DD6045">
        <w:rPr>
          <w:rFonts w:asciiTheme="majorHAnsi" w:hAnsiTheme="majorHAnsi" w:cs="Calibri"/>
          <w:b/>
          <w:bCs/>
          <w:sz w:val="22"/>
          <w:szCs w:val="22"/>
        </w:rPr>
        <w:tab/>
      </w:r>
      <w:r w:rsidRPr="00DD6045">
        <w:rPr>
          <w:rFonts w:asciiTheme="majorHAnsi" w:hAnsiTheme="majorHAnsi" w:cs="Calibri"/>
          <w:b/>
          <w:bCs/>
          <w:sz w:val="22"/>
          <w:szCs w:val="22"/>
        </w:rPr>
        <w:tab/>
      </w:r>
      <w:r w:rsidRPr="00DD6045">
        <w:rPr>
          <w:rFonts w:asciiTheme="majorHAnsi" w:hAnsiTheme="majorHAnsi" w:cs="Calibri"/>
          <w:b/>
          <w:bCs/>
          <w:sz w:val="22"/>
          <w:szCs w:val="22"/>
        </w:rPr>
        <w:tab/>
      </w:r>
    </w:p>
    <w:p w14:paraId="5658D9CF" w14:textId="77777777" w:rsidR="00F523E3" w:rsidRPr="00DD6045" w:rsidRDefault="00F523E3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Helvetica"/>
          <w:sz w:val="22"/>
          <w:szCs w:val="22"/>
        </w:rPr>
      </w:pPr>
      <w:r w:rsidRPr="00DD6045">
        <w:rPr>
          <w:rFonts w:asciiTheme="majorHAnsi" w:hAnsiTheme="majorHAnsi" w:cs="Helvetica"/>
          <w:sz w:val="22"/>
          <w:szCs w:val="22"/>
        </w:rPr>
        <w:t>Dyrektor Biura Zarządu i Komunikacji</w:t>
      </w:r>
      <w:r w:rsidRPr="00DD6045">
        <w:rPr>
          <w:rFonts w:asciiTheme="majorHAnsi" w:hAnsiTheme="majorHAnsi" w:cs="Helvetica"/>
          <w:sz w:val="22"/>
          <w:szCs w:val="22"/>
        </w:rPr>
        <w:tab/>
      </w:r>
      <w:r w:rsidRPr="00DD6045">
        <w:rPr>
          <w:rFonts w:asciiTheme="majorHAnsi" w:hAnsiTheme="majorHAnsi" w:cs="Helvetica"/>
          <w:sz w:val="22"/>
          <w:szCs w:val="22"/>
        </w:rPr>
        <w:tab/>
      </w:r>
      <w:r w:rsidRPr="00DD6045">
        <w:rPr>
          <w:rFonts w:asciiTheme="majorHAnsi" w:hAnsiTheme="majorHAnsi" w:cs="Helvetica"/>
          <w:sz w:val="22"/>
          <w:szCs w:val="22"/>
        </w:rPr>
        <w:tab/>
      </w:r>
      <w:r w:rsidRPr="00DD6045">
        <w:rPr>
          <w:rFonts w:asciiTheme="majorHAnsi" w:hAnsiTheme="majorHAnsi" w:cs="Helvetica"/>
          <w:sz w:val="22"/>
          <w:szCs w:val="22"/>
        </w:rPr>
        <w:tab/>
        <w:t xml:space="preserve"> </w:t>
      </w:r>
    </w:p>
    <w:p w14:paraId="4C11E723" w14:textId="28B6A56C" w:rsidR="00F523E3" w:rsidRPr="00DD6045" w:rsidRDefault="0024595E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tel. </w:t>
      </w:r>
      <w:r w:rsidR="00DD6045" w:rsidRPr="00DD6045">
        <w:rPr>
          <w:rFonts w:asciiTheme="majorHAnsi" w:hAnsiTheme="majorHAnsi" w:cs="Calibri"/>
          <w:sz w:val="22"/>
          <w:szCs w:val="22"/>
          <w:lang w:val="en-US"/>
        </w:rPr>
        <w:t>+48 510 183 993</w:t>
      </w:r>
      <w:r>
        <w:rPr>
          <w:rFonts w:asciiTheme="majorHAnsi" w:hAnsiTheme="majorHAnsi" w:cs="Calibri"/>
          <w:sz w:val="22"/>
          <w:szCs w:val="22"/>
          <w:lang w:val="en-US"/>
        </w:rPr>
        <w:t xml:space="preserve">, e-mail: </w:t>
      </w:r>
      <w:hyperlink r:id="rId7" w:history="1">
        <w:r w:rsidR="00F523E3" w:rsidRPr="00DD6045">
          <w:rPr>
            <w:rFonts w:asciiTheme="majorHAnsi" w:hAnsiTheme="majorHAnsi" w:cs="Calibri"/>
            <w:sz w:val="22"/>
            <w:szCs w:val="22"/>
            <w:lang w:val="en-US"/>
          </w:rPr>
          <w:t>monika.bartoszak@lug.com.pl</w:t>
        </w:r>
      </w:hyperlink>
      <w:r w:rsidR="00F523E3" w:rsidRPr="00DD6045">
        <w:rPr>
          <w:rFonts w:asciiTheme="majorHAnsi" w:hAnsiTheme="majorHAnsi" w:cs="Calibri"/>
          <w:sz w:val="22"/>
          <w:szCs w:val="22"/>
          <w:lang w:val="en-US"/>
        </w:rPr>
        <w:tab/>
      </w:r>
      <w:r w:rsidR="00F523E3" w:rsidRPr="00DD6045">
        <w:rPr>
          <w:rFonts w:asciiTheme="majorHAnsi" w:hAnsiTheme="majorHAnsi" w:cs="Calibri"/>
          <w:sz w:val="22"/>
          <w:szCs w:val="22"/>
          <w:lang w:val="en-US"/>
        </w:rPr>
        <w:tab/>
      </w:r>
      <w:r w:rsidR="00F523E3" w:rsidRPr="00DD6045">
        <w:rPr>
          <w:rFonts w:asciiTheme="majorHAnsi" w:hAnsiTheme="majorHAnsi" w:cs="Calibri"/>
          <w:sz w:val="22"/>
          <w:szCs w:val="22"/>
          <w:lang w:val="en-US"/>
        </w:rPr>
        <w:tab/>
      </w:r>
      <w:r w:rsidR="00F523E3" w:rsidRPr="00DD6045">
        <w:rPr>
          <w:rFonts w:asciiTheme="majorHAnsi" w:hAnsiTheme="majorHAnsi" w:cs="Calibri"/>
          <w:sz w:val="22"/>
          <w:szCs w:val="22"/>
          <w:lang w:val="en-US"/>
        </w:rPr>
        <w:tab/>
      </w:r>
      <w:r w:rsidR="00F523E3" w:rsidRPr="00DD6045">
        <w:rPr>
          <w:rFonts w:asciiTheme="majorHAnsi" w:hAnsiTheme="majorHAnsi" w:cs="Calibri"/>
          <w:sz w:val="22"/>
          <w:szCs w:val="22"/>
          <w:lang w:val="en-US"/>
        </w:rPr>
        <w:tab/>
      </w:r>
    </w:p>
    <w:p w14:paraId="68CA682E" w14:textId="77777777" w:rsidR="00F523E3" w:rsidRPr="00DD6045" w:rsidRDefault="00F523E3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14:paraId="7A72F340" w14:textId="77777777" w:rsidR="00DD6045" w:rsidRPr="00DD6045" w:rsidRDefault="00DD6045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DD6045">
        <w:rPr>
          <w:rFonts w:asciiTheme="majorHAnsi" w:hAnsiTheme="majorHAnsi" w:cs="Calibri"/>
          <w:b/>
          <w:bCs/>
          <w:sz w:val="22"/>
          <w:szCs w:val="22"/>
        </w:rPr>
        <w:t>Kamila Górczyńska-Żyżkowska</w:t>
      </w:r>
    </w:p>
    <w:p w14:paraId="7250B751" w14:textId="1D958335" w:rsidR="0024595E" w:rsidRPr="0047003B" w:rsidRDefault="00DD6045" w:rsidP="0024595E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  <w:r w:rsidRPr="0047003B">
        <w:rPr>
          <w:rFonts w:asciiTheme="majorHAnsi" w:hAnsiTheme="majorHAnsi" w:cs="Calibri"/>
          <w:sz w:val="22"/>
          <w:szCs w:val="22"/>
        </w:rPr>
        <w:t>tel. +48 601 805 484</w:t>
      </w:r>
      <w:r w:rsidR="0024595E" w:rsidRPr="0047003B">
        <w:rPr>
          <w:rFonts w:asciiTheme="majorHAnsi" w:hAnsiTheme="majorHAnsi" w:cs="Calibri"/>
          <w:sz w:val="22"/>
          <w:szCs w:val="22"/>
        </w:rPr>
        <w:t>, kamila.zyzkowska@intouchpr.pl</w:t>
      </w:r>
    </w:p>
    <w:p w14:paraId="21CD67D7" w14:textId="77777777" w:rsidR="00DD6045" w:rsidRPr="0047003B" w:rsidRDefault="00DD6045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65133051" w14:textId="77777777" w:rsidR="00DD6045" w:rsidRPr="0047003B" w:rsidRDefault="00DD6045" w:rsidP="00DD6045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20322DC7" w14:textId="5E2B8059" w:rsidR="00F523E3" w:rsidRPr="00DD6045" w:rsidRDefault="00F523E3" w:rsidP="00DD6045">
      <w:pPr>
        <w:widowControl w:val="0"/>
        <w:autoSpaceDE w:val="0"/>
        <w:autoSpaceDN w:val="0"/>
        <w:adjustRightInd w:val="0"/>
        <w:ind w:right="84"/>
        <w:jc w:val="both"/>
        <w:rPr>
          <w:rFonts w:asciiTheme="majorHAnsi" w:hAnsiTheme="majorHAnsi" w:cs="Calibri"/>
          <w:sz w:val="22"/>
          <w:szCs w:val="22"/>
        </w:rPr>
      </w:pPr>
      <w:r w:rsidRPr="00DD6045">
        <w:rPr>
          <w:rFonts w:asciiTheme="majorHAnsi" w:hAnsiTheme="majorHAnsi" w:cs="Calibri"/>
          <w:b/>
          <w:bCs/>
          <w:sz w:val="22"/>
          <w:szCs w:val="22"/>
        </w:rPr>
        <w:t xml:space="preserve">LUG S.A. </w:t>
      </w:r>
      <w:r w:rsidRPr="00DD6045">
        <w:rPr>
          <w:rFonts w:asciiTheme="majorHAnsi" w:hAnsiTheme="majorHAnsi" w:cs="Helvetica"/>
          <w:sz w:val="22"/>
          <w:szCs w:val="22"/>
        </w:rPr>
        <w:t xml:space="preserve">to spółka holdingowa Grupy Kapitałowej LUG S.A. – jednego z czołowych europejskich producentów profesjonalnych rozwiązań oświetleniowych. Grupa sprzedaje swoje produkty </w:t>
      </w:r>
      <w:r w:rsidR="004048F8">
        <w:rPr>
          <w:rFonts w:asciiTheme="majorHAnsi" w:hAnsiTheme="majorHAnsi" w:cs="Helvetica"/>
          <w:sz w:val="22"/>
          <w:szCs w:val="22"/>
        </w:rPr>
        <w:br/>
      </w:r>
      <w:r w:rsidRPr="00DD6045">
        <w:rPr>
          <w:rFonts w:asciiTheme="majorHAnsi" w:hAnsiTheme="majorHAnsi" w:cs="Helvetica"/>
          <w:sz w:val="22"/>
          <w:szCs w:val="22"/>
        </w:rPr>
        <w:t xml:space="preserve">w Polsce oraz w kilkudziesięciu krajach na całym świecie. Posiadająca 30 lat doświadczenia firma </w:t>
      </w:r>
      <w:r w:rsidR="004048F8">
        <w:rPr>
          <w:rFonts w:asciiTheme="majorHAnsi" w:hAnsiTheme="majorHAnsi" w:cs="Helvetica"/>
          <w:sz w:val="22"/>
          <w:szCs w:val="22"/>
        </w:rPr>
        <w:br/>
      </w:r>
      <w:r w:rsidRPr="00DD6045">
        <w:rPr>
          <w:rFonts w:asciiTheme="majorHAnsi" w:hAnsiTheme="majorHAnsi" w:cs="Helvetica"/>
          <w:sz w:val="22"/>
          <w:szCs w:val="22"/>
        </w:rPr>
        <w:t xml:space="preserve">z siedzibą w Zielonej Górze, od 2008 roku funkcjonuje jako Grupa Kapitałowa. W jej skład wchodzą: LUG S.A., LUG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Light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Factory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 Sp. z o.o., LUG GmbH, LUG do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Brasil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Ltda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, LUG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Lighting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 UK Ltd., TOW LUG Ukraina, BIOT Sp. z o.o., LUG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Argentina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 SA</w:t>
      </w:r>
      <w:r w:rsidR="004048F8">
        <w:rPr>
          <w:rFonts w:asciiTheme="majorHAnsi" w:hAnsiTheme="majorHAnsi" w:cs="Helvetica"/>
          <w:sz w:val="22"/>
          <w:szCs w:val="22"/>
        </w:rPr>
        <w:t>,</w:t>
      </w:r>
      <w:r w:rsidRPr="00DD6045">
        <w:rPr>
          <w:rFonts w:asciiTheme="majorHAnsi" w:hAnsiTheme="majorHAnsi" w:cs="Helvetica"/>
          <w:sz w:val="22"/>
          <w:szCs w:val="22"/>
        </w:rPr>
        <w:t xml:space="preserve"> LUG Turkey</w:t>
      </w:r>
      <w:r w:rsidR="004048F8">
        <w:rPr>
          <w:rFonts w:asciiTheme="majorHAnsi" w:hAnsiTheme="majorHAnsi" w:cs="Helvetica"/>
          <w:sz w:val="22"/>
          <w:szCs w:val="22"/>
        </w:rPr>
        <w:t>, ESCO</w:t>
      </w:r>
      <w:r w:rsidR="00696E22">
        <w:rPr>
          <w:rFonts w:asciiTheme="majorHAnsi" w:hAnsiTheme="majorHAnsi" w:cs="Helvetica"/>
          <w:sz w:val="22"/>
          <w:szCs w:val="22"/>
        </w:rPr>
        <w:t>LIGHT Sp. z o.o.</w:t>
      </w:r>
      <w:r w:rsidR="004048F8">
        <w:rPr>
          <w:rFonts w:asciiTheme="majorHAnsi" w:hAnsiTheme="majorHAnsi" w:cs="Helvetica"/>
          <w:sz w:val="22"/>
          <w:szCs w:val="22"/>
        </w:rPr>
        <w:t xml:space="preserve">  oraz LUG Services</w:t>
      </w:r>
      <w:r w:rsidR="00696E22">
        <w:rPr>
          <w:rFonts w:asciiTheme="majorHAnsi" w:hAnsiTheme="majorHAnsi" w:cs="Helvetica"/>
          <w:sz w:val="22"/>
          <w:szCs w:val="22"/>
        </w:rPr>
        <w:t xml:space="preserve"> Sp. z o.o. </w:t>
      </w:r>
      <w:r w:rsidR="004048F8">
        <w:rPr>
          <w:rFonts w:asciiTheme="majorHAnsi" w:hAnsiTheme="majorHAnsi" w:cs="Helvetica"/>
          <w:sz w:val="22"/>
          <w:szCs w:val="22"/>
        </w:rPr>
        <w:t>(</w:t>
      </w:r>
      <w:r w:rsidR="00477F6D">
        <w:rPr>
          <w:rFonts w:asciiTheme="majorHAnsi" w:hAnsiTheme="majorHAnsi" w:cs="Helvetica"/>
          <w:sz w:val="22"/>
          <w:szCs w:val="22"/>
        </w:rPr>
        <w:t xml:space="preserve">spółka </w:t>
      </w:r>
      <w:r w:rsidR="004048F8">
        <w:rPr>
          <w:rFonts w:asciiTheme="majorHAnsi" w:hAnsiTheme="majorHAnsi" w:cs="Helvetica"/>
          <w:sz w:val="22"/>
          <w:szCs w:val="22"/>
        </w:rPr>
        <w:t>w organizacji)</w:t>
      </w:r>
      <w:r w:rsidRPr="00DD6045">
        <w:rPr>
          <w:rFonts w:asciiTheme="majorHAnsi" w:hAnsiTheme="majorHAnsi" w:cs="Helvetica"/>
          <w:sz w:val="22"/>
          <w:szCs w:val="22"/>
        </w:rPr>
        <w:t xml:space="preserve">. LUG S.A. od listopada 2007 roku jest notowana na rynku </w:t>
      </w:r>
      <w:proofErr w:type="spellStart"/>
      <w:r w:rsidRPr="00DD6045">
        <w:rPr>
          <w:rFonts w:asciiTheme="majorHAnsi" w:hAnsiTheme="majorHAnsi" w:cs="Helvetica"/>
          <w:sz w:val="22"/>
          <w:szCs w:val="22"/>
        </w:rPr>
        <w:t>NewConnect</w:t>
      </w:r>
      <w:proofErr w:type="spellEnd"/>
      <w:r w:rsidRPr="00DD6045">
        <w:rPr>
          <w:rFonts w:asciiTheme="majorHAnsi" w:hAnsiTheme="majorHAnsi" w:cs="Helvetica"/>
          <w:sz w:val="22"/>
          <w:szCs w:val="22"/>
        </w:rPr>
        <w:t xml:space="preserve"> zarządzanym przez warszawską GPW. Więcej informacji: </w:t>
      </w:r>
      <w:hyperlink r:id="rId8" w:history="1">
        <w:r w:rsidRPr="00DD6045">
          <w:rPr>
            <w:rFonts w:asciiTheme="majorHAnsi" w:hAnsiTheme="majorHAnsi" w:cs="Calibri"/>
            <w:sz w:val="22"/>
            <w:szCs w:val="22"/>
          </w:rPr>
          <w:t>www.lug.com.pl</w:t>
        </w:r>
      </w:hyperlink>
    </w:p>
    <w:p w14:paraId="6AD9C960" w14:textId="77777777" w:rsidR="00166E84" w:rsidRPr="00DD6045" w:rsidRDefault="00166E84" w:rsidP="00DD6045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166E84" w:rsidRPr="00DD6045" w:rsidSect="00D45DB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0049" w14:textId="77777777" w:rsidR="00BD6741" w:rsidRDefault="00BD6741" w:rsidP="00F523E3">
      <w:r>
        <w:separator/>
      </w:r>
    </w:p>
  </w:endnote>
  <w:endnote w:type="continuationSeparator" w:id="0">
    <w:p w14:paraId="07DE9DE0" w14:textId="77777777" w:rsidR="00BD6741" w:rsidRDefault="00BD6741" w:rsidP="00F5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72A4" w14:textId="35CC9F74" w:rsidR="0024595E" w:rsidRDefault="0024595E">
    <w:pPr>
      <w:pStyle w:val="Stopka"/>
    </w:pPr>
    <w:r>
      <w:rPr>
        <w:noProof/>
        <w:lang w:val="en-US"/>
      </w:rPr>
      <w:drawing>
        <wp:inline distT="0" distB="0" distL="0" distR="0" wp14:anchorId="16E58A83" wp14:editId="2D378582">
          <wp:extent cx="5756910" cy="454721"/>
          <wp:effectExtent l="0" t="0" r="889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4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B7ED" w14:textId="77777777" w:rsidR="00BD6741" w:rsidRDefault="00BD6741" w:rsidP="00F523E3">
      <w:r>
        <w:separator/>
      </w:r>
    </w:p>
  </w:footnote>
  <w:footnote w:type="continuationSeparator" w:id="0">
    <w:p w14:paraId="51A6B8FC" w14:textId="77777777" w:rsidR="00BD6741" w:rsidRDefault="00BD6741" w:rsidP="00F5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9A6A" w14:textId="2B4C5C03" w:rsidR="0024595E" w:rsidRDefault="0024595E">
    <w:pPr>
      <w:pStyle w:val="Nagwek"/>
    </w:pPr>
    <w:r>
      <w:rPr>
        <w:noProof/>
        <w:lang w:val="en-US"/>
      </w:rPr>
      <w:drawing>
        <wp:inline distT="0" distB="0" distL="0" distR="0" wp14:anchorId="50E24548" wp14:editId="244F9D3F">
          <wp:extent cx="5756910" cy="628421"/>
          <wp:effectExtent l="0" t="0" r="8890" b="6985"/>
          <wp:docPr id="1" name="Obraz 1" descr="LUG papier firmowy_S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G papier firmowy_SA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1CA"/>
    <w:multiLevelType w:val="hybridMultilevel"/>
    <w:tmpl w:val="65A83D02"/>
    <w:lvl w:ilvl="0" w:tplc="574C8B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F9A"/>
    <w:multiLevelType w:val="hybridMultilevel"/>
    <w:tmpl w:val="1BC2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004"/>
    <w:multiLevelType w:val="hybridMultilevel"/>
    <w:tmpl w:val="E22A1662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4443F"/>
    <w:multiLevelType w:val="hybridMultilevel"/>
    <w:tmpl w:val="FDA8A1B4"/>
    <w:lvl w:ilvl="0" w:tplc="574C8B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838B0"/>
    <w:multiLevelType w:val="hybridMultilevel"/>
    <w:tmpl w:val="EEDACD1C"/>
    <w:lvl w:ilvl="0" w:tplc="16120D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57F58"/>
    <w:multiLevelType w:val="hybridMultilevel"/>
    <w:tmpl w:val="7A603E76"/>
    <w:lvl w:ilvl="0" w:tplc="04EA06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18"/>
    <w:rsid w:val="0016559D"/>
    <w:rsid w:val="00166E84"/>
    <w:rsid w:val="00175B91"/>
    <w:rsid w:val="0024595E"/>
    <w:rsid w:val="0027570F"/>
    <w:rsid w:val="004048F8"/>
    <w:rsid w:val="0047003B"/>
    <w:rsid w:val="00477F6D"/>
    <w:rsid w:val="005B25DC"/>
    <w:rsid w:val="005C13C1"/>
    <w:rsid w:val="006164DA"/>
    <w:rsid w:val="006639FC"/>
    <w:rsid w:val="00696E22"/>
    <w:rsid w:val="006E0D7C"/>
    <w:rsid w:val="00805660"/>
    <w:rsid w:val="00904E56"/>
    <w:rsid w:val="00942DFC"/>
    <w:rsid w:val="009F6963"/>
    <w:rsid w:val="00B3120A"/>
    <w:rsid w:val="00BD6741"/>
    <w:rsid w:val="00BF2969"/>
    <w:rsid w:val="00C53A93"/>
    <w:rsid w:val="00CE387C"/>
    <w:rsid w:val="00CE6162"/>
    <w:rsid w:val="00D157AB"/>
    <w:rsid w:val="00D45DBB"/>
    <w:rsid w:val="00DD6045"/>
    <w:rsid w:val="00E25118"/>
    <w:rsid w:val="00E25194"/>
    <w:rsid w:val="00EA4555"/>
    <w:rsid w:val="00F24B02"/>
    <w:rsid w:val="00F523E3"/>
    <w:rsid w:val="00F74A77"/>
    <w:rsid w:val="00F870C8"/>
    <w:rsid w:val="00F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7DC65"/>
  <w14:defaultImageDpi w14:val="300"/>
  <w15:docId w15:val="{0AF7E64F-53C3-4882-A673-13764B14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1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1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3E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2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3E3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3E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3E3"/>
    <w:rPr>
      <w:rFonts w:ascii="Lucida Grande CE" w:eastAsia="Times New Roman" w:hAnsi="Lucida Grande CE" w:cs="Times New Roman"/>
      <w:sz w:val="18"/>
      <w:szCs w:val="18"/>
      <w:lang w:val="pl-PL"/>
    </w:rPr>
  </w:style>
  <w:style w:type="paragraph" w:styleId="NormalnyWeb">
    <w:name w:val="Normal (Web)"/>
    <w:basedOn w:val="Normalny"/>
    <w:uiPriority w:val="99"/>
    <w:unhideWhenUsed/>
    <w:rsid w:val="001655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Intouchpr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Górczyńska-Żyżkowska</dc:creator>
  <cp:keywords/>
  <dc:description/>
  <cp:lastModifiedBy>Angelika Biały</cp:lastModifiedBy>
  <cp:revision>4</cp:revision>
  <dcterms:created xsi:type="dcterms:W3CDTF">2020-02-07T08:04:00Z</dcterms:created>
  <dcterms:modified xsi:type="dcterms:W3CDTF">2020-02-07T08:46:00Z</dcterms:modified>
</cp:coreProperties>
</file>