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77777777" w:rsidR="00A0186C" w:rsidRPr="00BF4415" w:rsidRDefault="00FF447F" w:rsidP="00F21B54">
      <w:pPr>
        <w:spacing w:line="276" w:lineRule="auto"/>
        <w:jc w:val="right"/>
        <w:rPr>
          <w:rFonts w:asciiTheme="minorHAnsi" w:hAnsiTheme="minorHAnsi" w:cstheme="minorHAnsi"/>
          <w:color w:val="AEAAAA" w:themeColor="background2" w:themeShade="BF"/>
          <w:sz w:val="20"/>
          <w:szCs w:val="20"/>
        </w:rPr>
      </w:pPr>
      <w:r w:rsidRPr="00BF4415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 xml:space="preserve"> </w:t>
      </w:r>
      <w:r w:rsidR="00A0186C" w:rsidRPr="00BF4415">
        <w:rPr>
          <w:rFonts w:asciiTheme="minorHAnsi" w:hAnsiTheme="minorHAnsi" w:cstheme="minorHAnsi"/>
          <w:color w:val="AEAAAA" w:themeColor="background2" w:themeShade="BF"/>
          <w:sz w:val="20"/>
          <w:szCs w:val="20"/>
        </w:rPr>
        <w:t>Informacja prasowa</w:t>
      </w:r>
    </w:p>
    <w:p w14:paraId="7D7B70B0" w14:textId="037FD014" w:rsidR="00A0186C" w:rsidRPr="00BF4415" w:rsidRDefault="00BF4415" w:rsidP="00F21B54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Zielona Góra, </w:t>
      </w:r>
      <w:r w:rsidR="00F21B54" w:rsidRPr="00BF4415">
        <w:rPr>
          <w:rFonts w:asciiTheme="minorHAnsi" w:hAnsiTheme="minorHAnsi" w:cstheme="minorHAnsi"/>
          <w:sz w:val="20"/>
          <w:szCs w:val="20"/>
        </w:rPr>
        <w:t>2</w:t>
      </w:r>
      <w:r w:rsidR="00600CF7" w:rsidRPr="00BF4415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grudnia 2020</w:t>
      </w:r>
      <w:r w:rsidR="00A0186C" w:rsidRPr="00BF4415">
        <w:rPr>
          <w:rFonts w:asciiTheme="minorHAnsi" w:hAnsiTheme="minorHAnsi" w:cstheme="minorHAnsi"/>
          <w:sz w:val="20"/>
          <w:szCs w:val="20"/>
        </w:rPr>
        <w:t>r.</w:t>
      </w:r>
    </w:p>
    <w:p w14:paraId="0D5365CE" w14:textId="77777777" w:rsidR="00BF4415" w:rsidRDefault="00BF4415" w:rsidP="00F21B54">
      <w:pPr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50D42963" w14:textId="5ABEE957" w:rsidR="000F61C5" w:rsidRPr="00A40333" w:rsidRDefault="00BF4415" w:rsidP="00F21B54">
      <w:pPr>
        <w:spacing w:line="276" w:lineRule="auto"/>
        <w:rPr>
          <w:rFonts w:asciiTheme="minorHAnsi" w:hAnsiTheme="minorHAnsi" w:cstheme="minorHAnsi"/>
          <w:b/>
          <w:bCs/>
        </w:rPr>
      </w:pPr>
      <w:r w:rsidRPr="00A40333">
        <w:rPr>
          <w:rFonts w:asciiTheme="minorHAnsi" w:hAnsiTheme="minorHAnsi" w:cstheme="minorHAnsi"/>
          <w:b/>
          <w:bCs/>
        </w:rPr>
        <w:t xml:space="preserve">LUG rozświetli Warszawę </w:t>
      </w:r>
    </w:p>
    <w:p w14:paraId="68BED4C1" w14:textId="6E8BF533" w:rsidR="00C97AF6" w:rsidRPr="00A40333" w:rsidRDefault="00C55A70" w:rsidP="00F21B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0333">
        <w:rPr>
          <w:rFonts w:asciiTheme="minorHAnsi" w:hAnsiTheme="minorHAnsi" w:cstheme="minorHAnsi"/>
          <w:sz w:val="22"/>
          <w:szCs w:val="22"/>
        </w:rPr>
        <w:t>N</w:t>
      </w:r>
      <w:r w:rsidR="000F61C5" w:rsidRPr="00A40333">
        <w:rPr>
          <w:rFonts w:asciiTheme="minorHAnsi" w:hAnsiTheme="minorHAnsi" w:cstheme="minorHAnsi"/>
          <w:sz w:val="22"/>
          <w:szCs w:val="22"/>
        </w:rPr>
        <w:t xml:space="preserve">ajwiększy projekt wymiany oświetlenia </w:t>
      </w:r>
      <w:r w:rsidR="00D00539" w:rsidRPr="00A40333">
        <w:rPr>
          <w:rFonts w:asciiTheme="minorHAnsi" w:hAnsiTheme="minorHAnsi" w:cstheme="minorHAnsi"/>
          <w:sz w:val="22"/>
          <w:szCs w:val="22"/>
        </w:rPr>
        <w:t>w Polsce i jed</w:t>
      </w:r>
      <w:r w:rsidR="000F61C5" w:rsidRPr="00A40333">
        <w:rPr>
          <w:rFonts w:asciiTheme="minorHAnsi" w:hAnsiTheme="minorHAnsi" w:cstheme="minorHAnsi"/>
          <w:sz w:val="22"/>
          <w:szCs w:val="22"/>
        </w:rPr>
        <w:t>en</w:t>
      </w:r>
      <w:r w:rsidR="00D00539" w:rsidRPr="00A40333">
        <w:rPr>
          <w:rFonts w:asciiTheme="minorHAnsi" w:hAnsiTheme="minorHAnsi" w:cstheme="minorHAnsi"/>
          <w:sz w:val="22"/>
          <w:szCs w:val="22"/>
        </w:rPr>
        <w:t xml:space="preserve"> z największych w Europie</w:t>
      </w:r>
    </w:p>
    <w:p w14:paraId="59E2B19A" w14:textId="77777777" w:rsidR="00D00539" w:rsidRPr="00230065" w:rsidRDefault="00D00539" w:rsidP="003B59D6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75F65" w14:textId="66B9277E" w:rsidR="00F5040C" w:rsidRPr="00230065" w:rsidRDefault="00F5040C" w:rsidP="000F61C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t>LUG wymieni 38,5 tys. opraw ulicznych</w:t>
      </w:r>
    </w:p>
    <w:p w14:paraId="397F7A34" w14:textId="0DCE7342" w:rsidR="000F61C5" w:rsidRPr="00230065" w:rsidRDefault="00F5040C" w:rsidP="000F61C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sz w:val="22"/>
          <w:szCs w:val="22"/>
        </w:rPr>
        <w:t>Dostawy opraw</w:t>
      </w:r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będ</w:t>
      </w:r>
      <w:r w:rsidRPr="00230065">
        <w:rPr>
          <w:rFonts w:asciiTheme="minorHAnsi" w:hAnsiTheme="minorHAnsi" w:cstheme="minorHAnsi"/>
          <w:b/>
          <w:sz w:val="22"/>
          <w:szCs w:val="22"/>
        </w:rPr>
        <w:t>ą</w:t>
      </w:r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realizowan</w:t>
      </w:r>
      <w:r w:rsidRPr="00230065">
        <w:rPr>
          <w:rFonts w:asciiTheme="minorHAnsi" w:hAnsiTheme="minorHAnsi" w:cstheme="minorHAnsi"/>
          <w:b/>
          <w:sz w:val="22"/>
          <w:szCs w:val="22"/>
        </w:rPr>
        <w:t>e</w:t>
      </w:r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przez </w:t>
      </w:r>
      <w:r w:rsidR="002C57A7" w:rsidRPr="00230065">
        <w:rPr>
          <w:rFonts w:asciiTheme="minorHAnsi" w:hAnsiTheme="minorHAnsi" w:cstheme="minorHAnsi"/>
          <w:b/>
          <w:sz w:val="22"/>
          <w:szCs w:val="22"/>
        </w:rPr>
        <w:t>12</w:t>
      </w:r>
      <w:r w:rsidRPr="00230065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="000F61C5" w:rsidRPr="002300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51AF4D" w14:textId="79A7B964" w:rsidR="000F61C5" w:rsidRPr="00230065" w:rsidRDefault="000F61C5" w:rsidP="000F61C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065">
        <w:rPr>
          <w:rFonts w:asciiTheme="minorHAnsi" w:hAnsiTheme="minorHAnsi" w:cstheme="minorHAnsi"/>
          <w:b/>
          <w:sz w:val="22"/>
          <w:szCs w:val="22"/>
        </w:rPr>
        <w:t>Łączna wartość kontraktu</w:t>
      </w:r>
      <w:r w:rsidR="00C55A70" w:rsidRPr="0023006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30065">
        <w:rPr>
          <w:rFonts w:asciiTheme="minorHAnsi" w:hAnsiTheme="minorHAnsi" w:cstheme="minorHAnsi"/>
          <w:b/>
          <w:sz w:val="22"/>
          <w:szCs w:val="22"/>
        </w:rPr>
        <w:t>3</w:t>
      </w:r>
      <w:r w:rsidR="00B76BF4" w:rsidRPr="00230065">
        <w:rPr>
          <w:rFonts w:asciiTheme="minorHAnsi" w:hAnsiTheme="minorHAnsi" w:cstheme="minorHAnsi"/>
          <w:b/>
          <w:sz w:val="22"/>
          <w:szCs w:val="22"/>
        </w:rPr>
        <w:t>2</w:t>
      </w:r>
      <w:r w:rsidR="000C0FCB" w:rsidRPr="00230065">
        <w:rPr>
          <w:rFonts w:asciiTheme="minorHAnsi" w:hAnsiTheme="minorHAnsi" w:cstheme="minorHAnsi"/>
          <w:b/>
          <w:sz w:val="22"/>
          <w:szCs w:val="22"/>
        </w:rPr>
        <w:t>,08</w:t>
      </w:r>
      <w:r w:rsidRPr="00230065">
        <w:rPr>
          <w:rFonts w:asciiTheme="minorHAnsi" w:hAnsiTheme="minorHAnsi" w:cstheme="minorHAnsi"/>
          <w:b/>
          <w:sz w:val="22"/>
          <w:szCs w:val="22"/>
        </w:rPr>
        <w:t xml:space="preserve"> mln złotych</w:t>
      </w:r>
      <w:r w:rsidR="00F5040C" w:rsidRPr="00230065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23006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4B33030" w14:textId="5865406D" w:rsidR="00D00539" w:rsidRPr="00230065" w:rsidRDefault="00CE1862" w:rsidP="003B59D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Lampy 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>autorski projekt opracowany specjalnie dla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miasta</w:t>
      </w:r>
      <w:r w:rsidR="00AE1374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>Warszaw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F61C5" w:rsidRPr="00230065">
        <w:rPr>
          <w:rFonts w:asciiTheme="minorHAnsi" w:hAnsiTheme="minorHAnsi" w:cstheme="minorHAnsi"/>
          <w:b/>
          <w:bCs/>
          <w:sz w:val="22"/>
          <w:szCs w:val="22"/>
        </w:rPr>
        <w:t>. Spółka zrealizuje projekt kompleksowo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F61C5" w:rsidRPr="00230065">
        <w:rPr>
          <w:rFonts w:asciiTheme="minorHAnsi" w:hAnsiTheme="minorHAnsi" w:cstheme="minorHAnsi"/>
          <w:b/>
          <w:bCs/>
          <w:sz w:val="22"/>
          <w:szCs w:val="22"/>
        </w:rPr>
        <w:t>od koncepcji prototypu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F61C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76BF4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poprzez projekty, </w:t>
      </w:r>
      <w:r w:rsidR="000F61C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po </w:t>
      </w:r>
      <w:r w:rsidR="00B76BF4" w:rsidRPr="00230065">
        <w:rPr>
          <w:rFonts w:asciiTheme="minorHAnsi" w:hAnsiTheme="minorHAnsi" w:cstheme="minorHAnsi"/>
          <w:b/>
          <w:bCs/>
          <w:sz w:val="22"/>
          <w:szCs w:val="22"/>
        </w:rPr>
        <w:t>dostawę opraw do stolicy</w:t>
      </w:r>
    </w:p>
    <w:p w14:paraId="1B214925" w14:textId="778C94A0" w:rsidR="00D00539" w:rsidRPr="00230065" w:rsidRDefault="000F61C5" w:rsidP="003B59D6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Oprawy będą wyposażone w systemu zdalnej kontroli funkcjonowania oraz inwentaryzacji infrastruktury oświetlenia ulicznego. Rozwiązanie </w:t>
      </w:r>
      <w:r w:rsidR="00B76BF4" w:rsidRPr="00230065">
        <w:rPr>
          <w:rFonts w:asciiTheme="minorHAnsi" w:hAnsiTheme="minorHAnsi" w:cstheme="minorHAnsi"/>
          <w:b/>
          <w:bCs/>
          <w:sz w:val="22"/>
          <w:szCs w:val="22"/>
        </w:rPr>
        <w:t>dostarczy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1862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BIOT – spółka wchodząca w skład Grupy Kapitałowej 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>LUG S.A.</w:t>
      </w:r>
    </w:p>
    <w:p w14:paraId="4514AB01" w14:textId="77777777" w:rsidR="00CE1862" w:rsidRPr="00230065" w:rsidRDefault="00CE1862" w:rsidP="00CE186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AD9E1" w14:textId="22BE4D49" w:rsidR="00B11C35" w:rsidRPr="00230065" w:rsidRDefault="00CE1862" w:rsidP="00B11C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Krajowa Izba Odwoławcza </w:t>
      </w:r>
      <w:r w:rsidR="002937F7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w całości odrzuciła odwołanie firmy Signify w postępowaniu przetargowym na „Dostawę nowych opraw oświetleniowych w technologii LED” dla Miasta Stołecznego Warszawa </w:t>
      </w:r>
      <w:r w:rsidR="002C57A7" w:rsidRPr="00230065">
        <w:rPr>
          <w:rFonts w:asciiTheme="minorHAnsi" w:hAnsiTheme="minorHAnsi" w:cstheme="minorHAnsi"/>
          <w:b/>
          <w:bCs/>
          <w:sz w:val="22"/>
          <w:szCs w:val="22"/>
        </w:rPr>
        <w:t>co</w:t>
      </w:r>
      <w:r w:rsidR="0020007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C57A7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oznacza, że wybór najlepszej oferty jest ostateczny. 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>wycięzcą postępowani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przetargowego jest </w:t>
      </w:r>
      <w:r w:rsidR="002937F7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polski producent oświetlenia działających na rynkach międzynarodowych 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>LUG</w:t>
      </w:r>
      <w:r w:rsidR="00D00539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Light Factory</w:t>
      </w:r>
      <w:r w:rsidR="002937F7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, spółka </w:t>
      </w:r>
      <w:r w:rsidR="002C57A7" w:rsidRPr="00230065">
        <w:rPr>
          <w:rFonts w:asciiTheme="minorHAnsi" w:hAnsiTheme="minorHAnsi" w:cstheme="minorHAnsi"/>
          <w:b/>
          <w:bCs/>
          <w:sz w:val="22"/>
          <w:szCs w:val="22"/>
        </w:rPr>
        <w:t>zależna LUG S.A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55A70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półka 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>dostarczy ponad 38,5 tys. opraw ulicznych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w stolicy.</w:t>
      </w:r>
      <w:r w:rsidR="00D00539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>Do przetargu zgłosiło się sześć firm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, w tym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największe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międzynarodowe koncerny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>, lecz to oferta LUG okazała się najlepiej spełniającą kryteria oceny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. Zgodnie 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>ze specyfikacją Zamawiającego</w:t>
      </w:r>
      <w:r w:rsidR="003D24A1" w:rsidRPr="0023006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n</w:t>
      </w:r>
      <w:r w:rsidR="00D00539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owe lampy 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będą instalowane 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>etapami,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ostatnia parti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2A2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powinna 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pojawić się na ulicach miasta w grudniu</w:t>
      </w:r>
      <w:r w:rsidR="00D00539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2022 r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oku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jednakże termin ten wymaga potwierdzenia w ramach umowy</w:t>
      </w:r>
      <w:r w:rsidR="00D00539" w:rsidRPr="0023006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11C35" w:rsidRPr="00230065">
        <w:rPr>
          <w:rFonts w:asciiTheme="minorHAnsi" w:hAnsiTheme="minorHAnsi" w:cstheme="minorHAnsi"/>
          <w:sz w:val="22"/>
          <w:szCs w:val="22"/>
        </w:rPr>
        <w:t xml:space="preserve"> 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Całkowita wartość oferty wynosi 32,08 mln zł brutto. </w:t>
      </w:r>
      <w:r w:rsidR="002937F7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Zamawiającemu (Miasto Stołeczne Warszawa) 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przysługuje </w:t>
      </w:r>
      <w:r w:rsidR="00263683" w:rsidRPr="00230065">
        <w:rPr>
          <w:rFonts w:asciiTheme="minorHAnsi" w:hAnsiTheme="minorHAnsi" w:cstheme="minorHAnsi"/>
          <w:b/>
          <w:bCs/>
          <w:sz w:val="22"/>
          <w:szCs w:val="22"/>
        </w:rPr>
        <w:t>także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tzw. „prawo opcji” co oznacza, że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bez dodatkowego </w:t>
      </w:r>
      <w:r w:rsidR="00263683" w:rsidRPr="00230065">
        <w:rPr>
          <w:rFonts w:asciiTheme="minorHAnsi" w:hAnsiTheme="minorHAnsi" w:cstheme="minorHAnsi"/>
          <w:b/>
          <w:bCs/>
          <w:sz w:val="22"/>
          <w:szCs w:val="22"/>
        </w:rPr>
        <w:t>przetargu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będzie m</w:t>
      </w:r>
      <w:r w:rsidR="000C0FCB" w:rsidRPr="00230065">
        <w:rPr>
          <w:rFonts w:asciiTheme="minorHAnsi" w:hAnsiTheme="minorHAnsi" w:cstheme="minorHAnsi"/>
          <w:b/>
          <w:bCs/>
          <w:sz w:val="22"/>
          <w:szCs w:val="22"/>
        </w:rPr>
        <w:t>ó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ł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>zwiększyć</w:t>
      </w:r>
      <w:r w:rsidR="003D24A1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3683" w:rsidRPr="00230065">
        <w:rPr>
          <w:rFonts w:asciiTheme="minorHAnsi" w:hAnsiTheme="minorHAnsi" w:cstheme="minorHAnsi"/>
          <w:b/>
          <w:bCs/>
          <w:sz w:val="22"/>
          <w:szCs w:val="22"/>
        </w:rPr>
        <w:t>ilość</w:t>
      </w:r>
      <w:r w:rsidR="00191E3D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opraw LED </w:t>
      </w:r>
      <w:r w:rsidR="00263683" w:rsidRPr="00230065">
        <w:rPr>
          <w:rFonts w:asciiTheme="minorHAnsi" w:hAnsiTheme="minorHAnsi" w:cstheme="minorHAnsi"/>
          <w:b/>
          <w:bCs/>
          <w:sz w:val="22"/>
          <w:szCs w:val="22"/>
        </w:rPr>
        <w:t>na wartość odpowiadającą dodatkowym</w:t>
      </w:r>
      <w:r w:rsidR="00B11C35" w:rsidRPr="00230065">
        <w:rPr>
          <w:rFonts w:asciiTheme="minorHAnsi" w:hAnsiTheme="minorHAnsi" w:cstheme="minorHAnsi"/>
          <w:b/>
          <w:bCs/>
          <w:sz w:val="22"/>
          <w:szCs w:val="22"/>
        </w:rPr>
        <w:t xml:space="preserve"> 5 mln zł brutto.</w:t>
      </w:r>
    </w:p>
    <w:p w14:paraId="2F47545B" w14:textId="77777777" w:rsidR="00342A2B" w:rsidRPr="00230065" w:rsidRDefault="00342A2B" w:rsidP="00342A2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F9F561" w14:textId="1226850A" w:rsidR="00191E3D" w:rsidRPr="00230065" w:rsidRDefault="00191E3D" w:rsidP="000F61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t>Jedyne w swoim rodzaju</w:t>
      </w:r>
    </w:p>
    <w:p w14:paraId="5F0695F2" w14:textId="77777777" w:rsidR="00191E3D" w:rsidRPr="00230065" w:rsidRDefault="00191E3D" w:rsidP="000F61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59F91" w14:textId="78D6D8B9" w:rsidR="00C97AF6" w:rsidRPr="00230065" w:rsidRDefault="00342A2B" w:rsidP="000F61C5">
      <w:pPr>
        <w:jc w:val="both"/>
        <w:rPr>
          <w:rFonts w:asciiTheme="minorHAnsi" w:hAnsiTheme="minorHAnsi" w:cstheme="minorHAnsi"/>
          <w:sz w:val="22"/>
          <w:szCs w:val="22"/>
        </w:rPr>
      </w:pPr>
      <w:r w:rsidRPr="00230065">
        <w:rPr>
          <w:rFonts w:asciiTheme="minorHAnsi" w:hAnsiTheme="minorHAnsi" w:cstheme="minorHAnsi"/>
          <w:sz w:val="22"/>
          <w:szCs w:val="22"/>
        </w:rPr>
        <w:t>O</w:t>
      </w:r>
      <w:r w:rsidR="00C97AF6" w:rsidRPr="00230065">
        <w:rPr>
          <w:rFonts w:asciiTheme="minorHAnsi" w:hAnsiTheme="minorHAnsi" w:cstheme="minorHAnsi"/>
          <w:sz w:val="22"/>
          <w:szCs w:val="22"/>
        </w:rPr>
        <w:t>praw</w:t>
      </w:r>
      <w:r w:rsidRPr="00230065">
        <w:rPr>
          <w:rFonts w:asciiTheme="minorHAnsi" w:hAnsiTheme="minorHAnsi" w:cstheme="minorHAnsi"/>
          <w:sz w:val="22"/>
          <w:szCs w:val="22"/>
        </w:rPr>
        <w:t xml:space="preserve">y </w:t>
      </w:r>
      <w:r w:rsidR="00C97AF6" w:rsidRPr="00230065">
        <w:rPr>
          <w:rFonts w:asciiTheme="minorHAnsi" w:hAnsiTheme="minorHAnsi" w:cstheme="minorHAnsi"/>
          <w:sz w:val="22"/>
          <w:szCs w:val="22"/>
        </w:rPr>
        <w:t>uliczn</w:t>
      </w:r>
      <w:r w:rsidRPr="00230065">
        <w:rPr>
          <w:rFonts w:asciiTheme="minorHAnsi" w:hAnsiTheme="minorHAnsi" w:cstheme="minorHAnsi"/>
          <w:sz w:val="22"/>
          <w:szCs w:val="22"/>
        </w:rPr>
        <w:t>e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 </w:t>
      </w:r>
      <w:r w:rsidR="00B11C35" w:rsidRPr="00230065">
        <w:rPr>
          <w:rFonts w:asciiTheme="minorHAnsi" w:hAnsiTheme="minorHAnsi" w:cstheme="minorHAnsi"/>
          <w:sz w:val="22"/>
          <w:szCs w:val="22"/>
        </w:rPr>
        <w:t>powstaną na indywidualne zamówienie m</w:t>
      </w:r>
      <w:r w:rsidR="003D24A1" w:rsidRPr="00230065">
        <w:rPr>
          <w:rFonts w:asciiTheme="minorHAnsi" w:hAnsiTheme="minorHAnsi" w:cstheme="minorHAnsi"/>
          <w:sz w:val="22"/>
          <w:szCs w:val="22"/>
        </w:rPr>
        <w:t xml:space="preserve">iasta </w:t>
      </w:r>
      <w:r w:rsidR="00B11C35" w:rsidRPr="00230065">
        <w:rPr>
          <w:rFonts w:asciiTheme="minorHAnsi" w:hAnsiTheme="minorHAnsi" w:cstheme="minorHAnsi"/>
          <w:sz w:val="22"/>
          <w:szCs w:val="22"/>
        </w:rPr>
        <w:t>st</w:t>
      </w:r>
      <w:r w:rsidR="003D24A1" w:rsidRPr="00230065">
        <w:rPr>
          <w:rFonts w:asciiTheme="minorHAnsi" w:hAnsiTheme="minorHAnsi" w:cstheme="minorHAnsi"/>
          <w:sz w:val="22"/>
          <w:szCs w:val="22"/>
        </w:rPr>
        <w:t>ołecznego</w:t>
      </w:r>
      <w:r w:rsidR="00B11C35" w:rsidRPr="00230065">
        <w:rPr>
          <w:rFonts w:asciiTheme="minorHAnsi" w:hAnsiTheme="minorHAnsi" w:cstheme="minorHAnsi"/>
          <w:sz w:val="22"/>
          <w:szCs w:val="22"/>
        </w:rPr>
        <w:t xml:space="preserve"> Warszawa. </w:t>
      </w:r>
      <w:r w:rsidR="00191E3D" w:rsidRPr="00230065">
        <w:rPr>
          <w:rFonts w:asciiTheme="minorHAnsi" w:hAnsiTheme="minorHAnsi" w:cstheme="minorHAnsi"/>
          <w:sz w:val="22"/>
          <w:szCs w:val="22"/>
        </w:rPr>
        <w:t>Oznacza to, że</w:t>
      </w:r>
      <w:r w:rsidR="0020007F">
        <w:rPr>
          <w:rFonts w:asciiTheme="minorHAnsi" w:hAnsiTheme="minorHAnsi" w:cstheme="minorHAnsi"/>
          <w:sz w:val="22"/>
          <w:szCs w:val="22"/>
        </w:rPr>
        <w:t> </w:t>
      </w:r>
      <w:r w:rsidR="00191E3D" w:rsidRPr="00230065">
        <w:rPr>
          <w:rFonts w:asciiTheme="minorHAnsi" w:hAnsiTheme="minorHAnsi" w:cstheme="minorHAnsi"/>
          <w:sz w:val="22"/>
          <w:szCs w:val="22"/>
        </w:rPr>
        <w:t>z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ostaną </w:t>
      </w:r>
      <w:r w:rsidR="00191E3D" w:rsidRPr="00230065">
        <w:rPr>
          <w:rFonts w:asciiTheme="minorHAnsi" w:hAnsiTheme="minorHAnsi" w:cstheme="minorHAnsi"/>
          <w:sz w:val="22"/>
          <w:szCs w:val="22"/>
        </w:rPr>
        <w:t xml:space="preserve">od początku </w:t>
      </w:r>
      <w:r w:rsidR="00C97AF6" w:rsidRPr="00230065">
        <w:rPr>
          <w:rFonts w:asciiTheme="minorHAnsi" w:hAnsiTheme="minorHAnsi" w:cstheme="minorHAnsi"/>
          <w:sz w:val="22"/>
          <w:szCs w:val="22"/>
        </w:rPr>
        <w:t>zaprojektowane i wykonane przez projektantów LUG Light Factory Sp. z o.o</w:t>
      </w:r>
      <w:r w:rsidR="00B11C35" w:rsidRPr="00230065">
        <w:rPr>
          <w:rFonts w:asciiTheme="minorHAnsi" w:hAnsiTheme="minorHAnsi" w:cstheme="minorHAnsi"/>
          <w:sz w:val="22"/>
          <w:szCs w:val="22"/>
        </w:rPr>
        <w:t>.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 </w:t>
      </w:r>
      <w:r w:rsidR="00191E3D" w:rsidRPr="00230065">
        <w:rPr>
          <w:rFonts w:asciiTheme="minorHAnsi" w:hAnsiTheme="minorHAnsi" w:cstheme="minorHAnsi"/>
          <w:sz w:val="22"/>
          <w:szCs w:val="22"/>
        </w:rPr>
        <w:t>wg.</w:t>
      </w:r>
      <w:r w:rsidR="0020007F">
        <w:rPr>
          <w:rFonts w:asciiTheme="minorHAnsi" w:hAnsiTheme="minorHAnsi" w:cstheme="minorHAnsi"/>
          <w:sz w:val="22"/>
          <w:szCs w:val="22"/>
        </w:rPr>
        <w:t> </w:t>
      </w:r>
      <w:r w:rsidR="00191E3D" w:rsidRPr="00230065">
        <w:rPr>
          <w:rFonts w:asciiTheme="minorHAnsi" w:hAnsiTheme="minorHAnsi" w:cstheme="minorHAnsi"/>
          <w:sz w:val="22"/>
          <w:szCs w:val="22"/>
        </w:rPr>
        <w:t xml:space="preserve">wytycznych </w:t>
      </w:r>
      <w:r w:rsidR="000C0FCB" w:rsidRPr="00230065">
        <w:rPr>
          <w:rFonts w:asciiTheme="minorHAnsi" w:hAnsiTheme="minorHAnsi" w:cstheme="minorHAnsi"/>
          <w:sz w:val="22"/>
          <w:szCs w:val="22"/>
        </w:rPr>
        <w:t>Zarządu Dróg Miejskich</w:t>
      </w:r>
      <w:r w:rsidR="00191E3D" w:rsidRPr="00230065">
        <w:rPr>
          <w:rFonts w:asciiTheme="minorHAnsi" w:hAnsiTheme="minorHAnsi" w:cstheme="minorHAnsi"/>
          <w:sz w:val="22"/>
          <w:szCs w:val="22"/>
        </w:rPr>
        <w:t>.</w:t>
      </w:r>
    </w:p>
    <w:p w14:paraId="64F83C35" w14:textId="0B40A9FD" w:rsidR="00342A2B" w:rsidRPr="00230065" w:rsidRDefault="00342A2B" w:rsidP="00C97AF6">
      <w:pPr>
        <w:rPr>
          <w:rFonts w:asciiTheme="minorHAnsi" w:hAnsiTheme="minorHAnsi" w:cstheme="minorHAnsi"/>
          <w:sz w:val="22"/>
          <w:szCs w:val="22"/>
        </w:rPr>
      </w:pPr>
    </w:p>
    <w:p w14:paraId="03825D27" w14:textId="6C51B1AE" w:rsidR="00B11C35" w:rsidRPr="00230065" w:rsidRDefault="00B11C35" w:rsidP="00191E3D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r w:rsidR="00191E3D"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 To niezwykły zaszczyt móc przygotować autorski projekt oświetlenia dla stolicy.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Nowe </w:t>
      </w:r>
      <w:r w:rsidR="006A1709">
        <w:rPr>
          <w:rFonts w:asciiTheme="minorHAnsi" w:hAnsiTheme="minorHAnsi" w:cstheme="minorHAnsi"/>
          <w:color w:val="231F20"/>
          <w:sz w:val="22"/>
          <w:szCs w:val="22"/>
        </w:rPr>
        <w:t xml:space="preserve">oprawy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>LED będą</w:t>
      </w:r>
      <w:r w:rsidR="003B59D6"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>jedyne w swoim rodzaju</w:t>
      </w:r>
      <w:r w:rsidR="0062185E">
        <w:rPr>
          <w:rFonts w:asciiTheme="minorHAnsi" w:hAnsiTheme="minorHAnsi" w:cstheme="minorHAnsi"/>
          <w:color w:val="231F20"/>
          <w:sz w:val="22"/>
          <w:szCs w:val="22"/>
        </w:rPr>
        <w:t xml:space="preserve">. Dzięki zaprojektowaniu unikalnego kształtu w dwóch rozmiarach Warszawa będzie oświetlona zgodnie z ideą spójności stylistycznej 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>przy zachowaniu najwyższych parametrów skuteczności świetlnej.</w:t>
      </w:r>
      <w:r w:rsidR="0062185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>Oprawy</w:t>
      </w:r>
      <w:r w:rsidR="00191E3D"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>będą wyposażone w gniazda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 xml:space="preserve"> Zhaga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 umożliwiające </w:t>
      </w:r>
      <w:r w:rsidR="00191E3D"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im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w przyszłości montaż sterowników 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 xml:space="preserve">do systemu zarządzania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>oświetleni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 xml:space="preserve">em </w:t>
      </w:r>
      <w:r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r w:rsidRPr="00230065">
        <w:rPr>
          <w:rFonts w:asciiTheme="minorHAnsi" w:hAnsiTheme="minorHAnsi" w:cstheme="minorHAnsi"/>
          <w:b/>
          <w:bCs/>
          <w:color w:val="231F20"/>
          <w:sz w:val="22"/>
          <w:szCs w:val="22"/>
        </w:rPr>
        <w:t>wyjaśnia Ryszard Wtorkowski, prezes zarządu LUG S.A.</w:t>
      </w:r>
      <w:r w:rsidR="00230065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i LUG Light Factory Sp. z o.o.</w:t>
      </w:r>
      <w:r w:rsidR="003B59D6"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230065">
        <w:rPr>
          <w:rFonts w:asciiTheme="minorHAnsi" w:hAnsiTheme="minorHAnsi" w:cstheme="minorHAnsi"/>
          <w:color w:val="231F20"/>
          <w:sz w:val="22"/>
          <w:szCs w:val="22"/>
        </w:rPr>
        <w:t>–</w:t>
      </w:r>
      <w:r w:rsidR="003B59D6" w:rsidRPr="00230065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>Projekt b</w:t>
      </w:r>
      <w:r w:rsidR="00230065">
        <w:rPr>
          <w:rFonts w:asciiTheme="minorHAnsi" w:hAnsiTheme="minorHAnsi" w:cstheme="minorHAnsi"/>
          <w:color w:val="231F20"/>
          <w:sz w:val="22"/>
          <w:szCs w:val="22"/>
        </w:rPr>
        <w:t>ędzie realizowa</w:t>
      </w:r>
      <w:r w:rsidR="003A3890">
        <w:rPr>
          <w:rFonts w:asciiTheme="minorHAnsi" w:hAnsiTheme="minorHAnsi" w:cstheme="minorHAnsi"/>
          <w:color w:val="231F20"/>
          <w:sz w:val="22"/>
          <w:szCs w:val="22"/>
        </w:rPr>
        <w:t>ny</w:t>
      </w:r>
      <w:r w:rsidR="00230065">
        <w:rPr>
          <w:rFonts w:asciiTheme="minorHAnsi" w:hAnsiTheme="minorHAnsi" w:cstheme="minorHAnsi"/>
          <w:color w:val="231F20"/>
          <w:sz w:val="22"/>
          <w:szCs w:val="22"/>
        </w:rPr>
        <w:t xml:space="preserve"> kompleksowo. </w:t>
      </w:r>
      <w:r w:rsidR="003B59D6" w:rsidRPr="00230065">
        <w:rPr>
          <w:rFonts w:asciiTheme="minorHAnsi" w:hAnsiTheme="minorHAnsi" w:cstheme="minorHAnsi"/>
          <w:sz w:val="22"/>
          <w:szCs w:val="22"/>
        </w:rPr>
        <w:t xml:space="preserve">Za wdrożenie </w:t>
      </w:r>
      <w:r w:rsidR="00263683" w:rsidRPr="00230065">
        <w:rPr>
          <w:rFonts w:asciiTheme="minorHAnsi" w:hAnsiTheme="minorHAnsi" w:cstheme="minorHAnsi"/>
          <w:sz w:val="22"/>
          <w:szCs w:val="22"/>
        </w:rPr>
        <w:t xml:space="preserve">systemu zdalnej kontroli funkcjonowania oraz inwentaryzacji infrastruktury </w:t>
      </w:r>
      <w:r w:rsidR="003B59D6" w:rsidRPr="00230065">
        <w:rPr>
          <w:rFonts w:asciiTheme="minorHAnsi" w:hAnsiTheme="minorHAnsi" w:cstheme="minorHAnsi"/>
          <w:sz w:val="22"/>
          <w:szCs w:val="22"/>
        </w:rPr>
        <w:t xml:space="preserve">odpowiedzialna będzie spółka 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BIOT sp. z o.o. </w:t>
      </w:r>
      <w:r w:rsidR="003B59D6" w:rsidRPr="00230065">
        <w:rPr>
          <w:rFonts w:asciiTheme="minorHAnsi" w:hAnsiTheme="minorHAnsi" w:cstheme="minorHAnsi"/>
          <w:sz w:val="22"/>
          <w:szCs w:val="22"/>
        </w:rPr>
        <w:t>wchodząca w skład</w:t>
      </w:r>
      <w:r w:rsidRPr="00230065">
        <w:rPr>
          <w:rFonts w:asciiTheme="minorHAnsi" w:hAnsiTheme="minorHAnsi" w:cstheme="minorHAnsi"/>
          <w:sz w:val="22"/>
          <w:szCs w:val="22"/>
        </w:rPr>
        <w:t xml:space="preserve"> </w:t>
      </w:r>
      <w:r w:rsidR="000C0FCB" w:rsidRPr="00230065">
        <w:rPr>
          <w:rFonts w:asciiTheme="minorHAnsi" w:hAnsiTheme="minorHAnsi" w:cstheme="minorHAnsi"/>
          <w:sz w:val="22"/>
          <w:szCs w:val="22"/>
        </w:rPr>
        <w:t xml:space="preserve">naszej </w:t>
      </w:r>
      <w:r w:rsidRPr="00230065">
        <w:rPr>
          <w:rFonts w:asciiTheme="minorHAnsi" w:hAnsiTheme="minorHAnsi" w:cstheme="minorHAnsi"/>
          <w:sz w:val="22"/>
          <w:szCs w:val="22"/>
        </w:rPr>
        <w:t>Grupy Kapitałowej</w:t>
      </w:r>
      <w:r w:rsidR="000C0FCB" w:rsidRPr="002300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B033A8" w14:textId="2CECD3B9" w:rsidR="00191E3D" w:rsidRDefault="00191E3D" w:rsidP="00191E3D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1483309C" w14:textId="07EC8054" w:rsidR="003A3890" w:rsidRDefault="003A3890" w:rsidP="00191E3D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1703DE13" w14:textId="77777777" w:rsidR="003A3890" w:rsidRPr="00230065" w:rsidRDefault="003A3890" w:rsidP="00191E3D">
      <w:pPr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76626FE1" w14:textId="71C76DB2" w:rsidR="005075C2" w:rsidRPr="00230065" w:rsidRDefault="00191E3D" w:rsidP="00B11C35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30065">
        <w:rPr>
          <w:rFonts w:asciiTheme="minorHAnsi" w:hAnsiTheme="minorHAnsi" w:cstheme="minorHAnsi"/>
          <w:b/>
          <w:bCs/>
          <w:sz w:val="22"/>
          <w:szCs w:val="22"/>
        </w:rPr>
        <w:lastRenderedPageBreak/>
        <w:t>16 mln zł extra w budżecie Warszawy</w:t>
      </w:r>
    </w:p>
    <w:p w14:paraId="48BB51D9" w14:textId="151A612A" w:rsidR="00C97AF6" w:rsidRDefault="003D24A1" w:rsidP="00B11C3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065">
        <w:rPr>
          <w:rFonts w:asciiTheme="minorHAnsi" w:hAnsiTheme="minorHAnsi" w:cstheme="minorHAnsi"/>
          <w:sz w:val="22"/>
          <w:szCs w:val="22"/>
        </w:rPr>
        <w:t>Efektem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 inwestycji </w:t>
      </w:r>
      <w:r w:rsidR="007C0078" w:rsidRPr="00230065">
        <w:rPr>
          <w:rFonts w:asciiTheme="minorHAnsi" w:hAnsiTheme="minorHAnsi" w:cstheme="minorHAnsi"/>
          <w:sz w:val="22"/>
          <w:szCs w:val="22"/>
        </w:rPr>
        <w:t>stołecznego Ratusza</w:t>
      </w:r>
      <w:r w:rsidRPr="00230065">
        <w:rPr>
          <w:rFonts w:asciiTheme="minorHAnsi" w:hAnsiTheme="minorHAnsi" w:cstheme="minorHAnsi"/>
          <w:sz w:val="22"/>
          <w:szCs w:val="22"/>
        </w:rPr>
        <w:t xml:space="preserve"> będzie</w:t>
      </w:r>
      <w:r w:rsidR="007C0078" w:rsidRPr="00230065">
        <w:rPr>
          <w:rFonts w:asciiTheme="minorHAnsi" w:hAnsiTheme="minorHAnsi" w:cstheme="minorHAnsi"/>
          <w:sz w:val="22"/>
          <w:szCs w:val="22"/>
        </w:rPr>
        <w:t xml:space="preserve"> </w:t>
      </w:r>
      <w:r w:rsidR="00C97AF6" w:rsidRPr="00230065">
        <w:rPr>
          <w:rFonts w:asciiTheme="minorHAnsi" w:hAnsiTheme="minorHAnsi" w:cstheme="minorHAnsi"/>
          <w:sz w:val="22"/>
          <w:szCs w:val="22"/>
        </w:rPr>
        <w:t>trzykrotne zmniejsz</w:t>
      </w:r>
      <w:r w:rsidRPr="00230065">
        <w:rPr>
          <w:rFonts w:asciiTheme="minorHAnsi" w:hAnsiTheme="minorHAnsi" w:cstheme="minorHAnsi"/>
          <w:sz w:val="22"/>
          <w:szCs w:val="22"/>
        </w:rPr>
        <w:t>enie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 się koszt</w:t>
      </w:r>
      <w:r w:rsidRPr="00230065">
        <w:rPr>
          <w:rFonts w:asciiTheme="minorHAnsi" w:hAnsiTheme="minorHAnsi" w:cstheme="minorHAnsi"/>
          <w:sz w:val="22"/>
          <w:szCs w:val="22"/>
        </w:rPr>
        <w:t>ów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 energii elektrycznej</w:t>
      </w:r>
      <w:r w:rsidR="007C0078" w:rsidRPr="00230065">
        <w:rPr>
          <w:rFonts w:asciiTheme="minorHAnsi" w:hAnsiTheme="minorHAnsi" w:cstheme="minorHAnsi"/>
          <w:sz w:val="22"/>
          <w:szCs w:val="22"/>
        </w:rPr>
        <w:t>. O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szczędność </w:t>
      </w:r>
      <w:r w:rsidR="007C0078" w:rsidRPr="00230065">
        <w:rPr>
          <w:rFonts w:asciiTheme="minorHAnsi" w:hAnsiTheme="minorHAnsi" w:cstheme="minorHAnsi"/>
          <w:sz w:val="22"/>
          <w:szCs w:val="22"/>
        </w:rPr>
        <w:t xml:space="preserve">z tytułu mniejszego poboru energii wyniesie </w:t>
      </w:r>
      <w:r w:rsidR="00C97AF6" w:rsidRPr="00230065">
        <w:rPr>
          <w:rFonts w:asciiTheme="minorHAnsi" w:hAnsiTheme="minorHAnsi" w:cstheme="minorHAnsi"/>
          <w:sz w:val="22"/>
          <w:szCs w:val="22"/>
        </w:rPr>
        <w:t>ok. 38 GWh</w:t>
      </w:r>
      <w:r w:rsidR="00263683" w:rsidRPr="00230065">
        <w:rPr>
          <w:rFonts w:asciiTheme="minorHAnsi" w:hAnsiTheme="minorHAnsi" w:cstheme="minorHAnsi"/>
          <w:sz w:val="22"/>
          <w:szCs w:val="22"/>
        </w:rPr>
        <w:t xml:space="preserve"> (gigawatogodzin)</w:t>
      </w:r>
      <w:r w:rsidR="000C7DDC" w:rsidRPr="00230065">
        <w:rPr>
          <w:rFonts w:asciiTheme="minorHAnsi" w:hAnsiTheme="minorHAnsi" w:cstheme="minorHAnsi"/>
          <w:sz w:val="22"/>
          <w:szCs w:val="22"/>
        </w:rPr>
        <w:t xml:space="preserve"> rocznie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, </w:t>
      </w:r>
      <w:r w:rsidR="007C0078" w:rsidRPr="00230065">
        <w:rPr>
          <w:rFonts w:asciiTheme="minorHAnsi" w:hAnsiTheme="minorHAnsi" w:cstheme="minorHAnsi"/>
          <w:sz w:val="22"/>
          <w:szCs w:val="22"/>
        </w:rPr>
        <w:t xml:space="preserve">zmniejszając rachunki za prąd o </w:t>
      </w:r>
      <w:r w:rsidR="00C97AF6" w:rsidRPr="00230065">
        <w:rPr>
          <w:rFonts w:asciiTheme="minorHAnsi" w:hAnsiTheme="minorHAnsi" w:cstheme="minorHAnsi"/>
          <w:sz w:val="22"/>
          <w:szCs w:val="22"/>
        </w:rPr>
        <w:t>kwot</w:t>
      </w:r>
      <w:r w:rsidR="007C0078" w:rsidRPr="00230065">
        <w:rPr>
          <w:rFonts w:asciiTheme="minorHAnsi" w:hAnsiTheme="minorHAnsi" w:cstheme="minorHAnsi"/>
          <w:sz w:val="22"/>
          <w:szCs w:val="22"/>
        </w:rPr>
        <w:t>ę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 ok. 16 mln zł. </w:t>
      </w:r>
      <w:r w:rsidR="00263683" w:rsidRPr="00230065">
        <w:rPr>
          <w:rFonts w:asciiTheme="minorHAnsi" w:hAnsiTheme="minorHAnsi" w:cstheme="minorHAnsi"/>
          <w:sz w:val="22"/>
          <w:szCs w:val="22"/>
        </w:rPr>
        <w:t xml:space="preserve">Dzięki temu 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zwrot kosztów inwestycji </w:t>
      </w:r>
      <w:r w:rsidR="007C0078" w:rsidRPr="00230065">
        <w:rPr>
          <w:rFonts w:asciiTheme="minorHAnsi" w:hAnsiTheme="minorHAnsi" w:cstheme="minorHAnsi"/>
          <w:sz w:val="22"/>
          <w:szCs w:val="22"/>
        </w:rPr>
        <w:t xml:space="preserve">nastąpi </w:t>
      </w:r>
      <w:r w:rsidR="00C97AF6" w:rsidRPr="00230065">
        <w:rPr>
          <w:rFonts w:asciiTheme="minorHAnsi" w:hAnsiTheme="minorHAnsi" w:cstheme="minorHAnsi"/>
          <w:sz w:val="22"/>
          <w:szCs w:val="22"/>
        </w:rPr>
        <w:t xml:space="preserve">w ciągu trzech lat. </w:t>
      </w:r>
    </w:p>
    <w:p w14:paraId="300E52F6" w14:textId="281B56A0" w:rsidR="003A3890" w:rsidRDefault="004568FA" w:rsidP="00B11C3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Dzięki beznarzędziowemu systemowi montażu o</w:t>
      </w:r>
      <w:r w:rsidR="003A3890">
        <w:rPr>
          <w:rFonts w:asciiTheme="minorHAnsi" w:hAnsiTheme="minorHAnsi" w:cstheme="minorHAnsi"/>
          <w:sz w:val="22"/>
          <w:szCs w:val="22"/>
        </w:rPr>
        <w:t xml:space="preserve">prawy będą także łatwiejsze w montażu i obsłudze. </w:t>
      </w:r>
      <w:r>
        <w:rPr>
          <w:rFonts w:asciiTheme="minorHAnsi" w:hAnsiTheme="minorHAnsi" w:cstheme="minorHAnsi"/>
          <w:sz w:val="22"/>
          <w:szCs w:val="22"/>
        </w:rPr>
        <w:t>Elementy konstrukcyjne oprawy, jak również wszystkie połączenia elektryczne zostały zaprojektowane w</w:t>
      </w:r>
      <w:r w:rsidR="0020007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taki sposób aby serwisowanie ich było szybkie i proste, a w konsekwencji również tańsze. Dzięki takiemu podejściu i obudowie wykonanej ze stopów aluminium, oprawy przetrwają kilkadziesiąt lat i</w:t>
      </w:r>
      <w:r w:rsidR="0020007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będą spełniać wymogi Dyrektywy o prawie do naprawy”, która wejdzie w życie w kwietniu 2021 roku.</w:t>
      </w:r>
    </w:p>
    <w:p w14:paraId="2B97DD2B" w14:textId="0D5C38BF" w:rsidR="00A40333" w:rsidRDefault="00A40333" w:rsidP="00B11C3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przyszłości na niższe koszty eksploatacji wpłynie także zastosowanie systemu zarządzania oświetleniem, dzięki któremu informacja o awarii konkretnej oprawy będzie trafiała bezpośrednio do</w:t>
      </w:r>
      <w:r w:rsidR="0020007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Zarządu Dróg Miejskich bez konieczności wysyłania na miejsce serwisantów. To kwestia przyszłych decyzji, ale oprawy LUG już teraz wyposażone będą w gniazda Zhaga, które umożliwią integrację z</w:t>
      </w:r>
      <w:r w:rsidR="0020007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systemem. </w:t>
      </w:r>
    </w:p>
    <w:p w14:paraId="092323AD" w14:textId="75B87AE6" w:rsidR="00A40333" w:rsidRPr="00A40333" w:rsidRDefault="00A40333" w:rsidP="00B11C35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40333">
        <w:rPr>
          <w:rFonts w:asciiTheme="minorHAnsi" w:hAnsiTheme="minorHAnsi" w:cstheme="minorHAnsi"/>
          <w:b/>
          <w:bCs/>
          <w:sz w:val="22"/>
          <w:szCs w:val="22"/>
        </w:rPr>
        <w:t>Jedna z największych inwestycji oświetleniowych w Europie</w:t>
      </w:r>
    </w:p>
    <w:p w14:paraId="78F76CDD" w14:textId="3062E648" w:rsidR="00C97AF6" w:rsidRPr="00230065" w:rsidRDefault="00263683" w:rsidP="00230065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065">
        <w:rPr>
          <w:rFonts w:asciiTheme="minorHAnsi" w:hAnsiTheme="minorHAnsi" w:cstheme="minorHAnsi"/>
          <w:sz w:val="22"/>
          <w:szCs w:val="22"/>
        </w:rPr>
        <w:t xml:space="preserve">Rozstrzygnięty przetarg dotyczy wymiany oświetlenia na głównych ulicach Warszawy. W planach jest jeszcze wymiana oświetlenia na wysokich masztach na węzłach drogowych oraz na zabytkowych ulicach. Oznacza to, że całkowita pula wymienionego oświetlenia wzrośnie do </w:t>
      </w:r>
      <w:r w:rsidR="00230065" w:rsidRPr="00230065">
        <w:rPr>
          <w:rFonts w:asciiTheme="minorHAnsi" w:hAnsiTheme="minorHAnsi" w:cstheme="minorHAnsi"/>
          <w:sz w:val="22"/>
          <w:szCs w:val="22"/>
        </w:rPr>
        <w:t>ilości</w:t>
      </w:r>
      <w:r w:rsidRPr="00230065">
        <w:rPr>
          <w:rFonts w:asciiTheme="minorHAnsi" w:hAnsiTheme="minorHAnsi" w:cstheme="minorHAnsi"/>
          <w:sz w:val="22"/>
          <w:szCs w:val="22"/>
        </w:rPr>
        <w:t xml:space="preserve"> 43 tys. </w:t>
      </w:r>
      <w:r w:rsidR="00230065" w:rsidRPr="00230065">
        <w:rPr>
          <w:rFonts w:asciiTheme="minorHAnsi" w:hAnsiTheme="minorHAnsi" w:cstheme="minorHAnsi"/>
          <w:sz w:val="22"/>
          <w:szCs w:val="22"/>
        </w:rPr>
        <w:t xml:space="preserve">opraw. </w:t>
      </w:r>
      <w:r w:rsidR="007C0078" w:rsidRPr="00230065">
        <w:rPr>
          <w:rFonts w:asciiTheme="minorHAnsi" w:hAnsiTheme="minorHAnsi" w:cstheme="minorHAnsi"/>
          <w:color w:val="231F20"/>
          <w:sz w:val="22"/>
          <w:szCs w:val="22"/>
        </w:rPr>
        <w:t>P</w:t>
      </w:r>
      <w:r w:rsidR="00C97AF6" w:rsidRPr="00230065">
        <w:rPr>
          <w:rFonts w:asciiTheme="minorHAnsi" w:hAnsiTheme="minorHAnsi" w:cstheme="minorHAnsi"/>
          <w:color w:val="231F20"/>
          <w:sz w:val="22"/>
          <w:szCs w:val="22"/>
        </w:rPr>
        <w:t>lanowana modernizacja w Warszawie będzie największym tego typu projektem w Polsce, a także jednym z</w:t>
      </w:r>
      <w:r w:rsidR="0020007F">
        <w:rPr>
          <w:rFonts w:asciiTheme="minorHAnsi" w:hAnsiTheme="minorHAnsi" w:cstheme="minorHAnsi"/>
          <w:color w:val="231F20"/>
          <w:sz w:val="22"/>
          <w:szCs w:val="22"/>
        </w:rPr>
        <w:t> </w:t>
      </w:r>
      <w:r w:rsidR="00C97AF6" w:rsidRPr="00230065">
        <w:rPr>
          <w:rFonts w:asciiTheme="minorHAnsi" w:hAnsiTheme="minorHAnsi" w:cstheme="minorHAnsi"/>
          <w:color w:val="231F20"/>
          <w:sz w:val="22"/>
          <w:szCs w:val="22"/>
        </w:rPr>
        <w:t>największych w Europie. W latach 2017 – 2020 wymieniono 56 tysięcy opraw oświetleniowych w</w:t>
      </w:r>
      <w:r w:rsidR="0020007F">
        <w:rPr>
          <w:rFonts w:asciiTheme="minorHAnsi" w:hAnsiTheme="minorHAnsi" w:cstheme="minorHAnsi"/>
          <w:color w:val="231F20"/>
          <w:sz w:val="22"/>
          <w:szCs w:val="22"/>
        </w:rPr>
        <w:t> </w:t>
      </w:r>
      <w:r w:rsidR="00C97AF6" w:rsidRPr="00230065">
        <w:rPr>
          <w:rFonts w:asciiTheme="minorHAnsi" w:hAnsiTheme="minorHAnsi" w:cstheme="minorHAnsi"/>
          <w:color w:val="231F20"/>
          <w:sz w:val="22"/>
          <w:szCs w:val="22"/>
        </w:rPr>
        <w:t>Manchesterze i 12 tysięcy w Londynie. W Santander w Hiszpanii zakończono niedawno wymianę 23</w:t>
      </w:r>
      <w:r w:rsidR="0020007F">
        <w:rPr>
          <w:rFonts w:asciiTheme="minorHAnsi" w:hAnsiTheme="minorHAnsi" w:cstheme="minorHAnsi"/>
          <w:color w:val="231F20"/>
          <w:sz w:val="22"/>
          <w:szCs w:val="22"/>
        </w:rPr>
        <w:t> </w:t>
      </w:r>
      <w:r w:rsidR="00C97AF6" w:rsidRPr="00230065">
        <w:rPr>
          <w:rFonts w:asciiTheme="minorHAnsi" w:hAnsiTheme="minorHAnsi" w:cstheme="minorHAnsi"/>
          <w:color w:val="231F20"/>
          <w:sz w:val="22"/>
          <w:szCs w:val="22"/>
        </w:rPr>
        <w:t>tysięcy opraw, a w Wiedniu trwa obecnie wymiana 60 tysięcy opraw. </w:t>
      </w:r>
    </w:p>
    <w:p w14:paraId="116EF633" w14:textId="1ABA0B2E" w:rsidR="007C0078" w:rsidRDefault="007C0078" w:rsidP="00B11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DB586" w14:textId="77777777" w:rsidR="00A0186C" w:rsidRPr="00F21B54" w:rsidRDefault="00A0186C" w:rsidP="00F21B5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21B54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3D24A1" w:rsidRDefault="00A0186C" w:rsidP="003D24A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1F5603B2" w:rsidR="00A0186C" w:rsidRPr="003D24A1" w:rsidRDefault="00A0186C" w:rsidP="003D24A1">
      <w:pPr>
        <w:jc w:val="both"/>
        <w:rPr>
          <w:rFonts w:asciiTheme="minorHAnsi" w:hAnsiTheme="minorHAnsi" w:cstheme="minorHAnsi"/>
          <w:sz w:val="20"/>
          <w:szCs w:val="20"/>
        </w:rPr>
      </w:pPr>
      <w:r w:rsidRPr="003D24A1">
        <w:rPr>
          <w:rFonts w:asciiTheme="minorHAnsi" w:hAnsiTheme="minorHAnsi" w:cstheme="minorHAnsi"/>
          <w:sz w:val="20"/>
          <w:szCs w:val="20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3D24A1">
        <w:rPr>
          <w:rFonts w:asciiTheme="minorHAnsi" w:hAnsiTheme="minorHAnsi" w:cstheme="minorHAnsi"/>
          <w:sz w:val="20"/>
          <w:szCs w:val="20"/>
        </w:rPr>
        <w:t xml:space="preserve">ponad </w:t>
      </w:r>
      <w:r w:rsidRPr="003D24A1">
        <w:rPr>
          <w:rFonts w:asciiTheme="minorHAnsi" w:hAnsiTheme="minorHAnsi" w:cstheme="minorHAnsi"/>
          <w:sz w:val="20"/>
          <w:szCs w:val="20"/>
        </w:rPr>
        <w:t>30 lat doświadczenia firma z siedzibą w Zielonej Górze, od 2008 roku funkcjonuje jako Grupa Kapitałowa. W jej skład wchodzą: LUG S.A., LUG Light Factory Sp. z o.o., LUG GmbH, LUG</w:t>
      </w:r>
      <w:r w:rsidR="009457B5" w:rsidRPr="003D24A1">
        <w:rPr>
          <w:rFonts w:asciiTheme="minorHAnsi" w:hAnsiTheme="minorHAnsi" w:cstheme="minorHAnsi"/>
          <w:sz w:val="20"/>
          <w:szCs w:val="20"/>
        </w:rPr>
        <w:t> </w:t>
      </w:r>
      <w:r w:rsidRPr="003D24A1">
        <w:rPr>
          <w:rFonts w:asciiTheme="minorHAnsi" w:hAnsiTheme="minorHAnsi" w:cstheme="minorHAnsi"/>
          <w:sz w:val="20"/>
          <w:szCs w:val="20"/>
        </w:rPr>
        <w:t>do</w:t>
      </w:r>
      <w:r w:rsidR="009457B5" w:rsidRPr="003D24A1">
        <w:rPr>
          <w:rFonts w:asciiTheme="minorHAnsi" w:hAnsiTheme="minorHAnsi" w:cstheme="minorHAnsi"/>
          <w:sz w:val="20"/>
          <w:szCs w:val="20"/>
        </w:rPr>
        <w:t> </w:t>
      </w:r>
      <w:r w:rsidRPr="003D24A1">
        <w:rPr>
          <w:rFonts w:asciiTheme="minorHAnsi" w:hAnsiTheme="minorHAnsi" w:cstheme="minorHAnsi"/>
          <w:sz w:val="20"/>
          <w:szCs w:val="20"/>
        </w:rPr>
        <w:t>Brasil Ltda, LUG Lighting UK Ltd., TOW LUG Ukraina, BIOT Sp. z o.o., LUG Argentina S.A.</w:t>
      </w:r>
      <w:r w:rsidR="002B3947" w:rsidRPr="003D24A1">
        <w:rPr>
          <w:rFonts w:asciiTheme="minorHAnsi" w:hAnsiTheme="minorHAnsi" w:cstheme="minorHAnsi"/>
          <w:sz w:val="20"/>
          <w:szCs w:val="20"/>
        </w:rPr>
        <w:t xml:space="preserve">, </w:t>
      </w:r>
      <w:r w:rsidRPr="003D24A1">
        <w:rPr>
          <w:rFonts w:asciiTheme="minorHAnsi" w:hAnsiTheme="minorHAnsi" w:cstheme="minorHAnsi"/>
          <w:sz w:val="20"/>
          <w:szCs w:val="20"/>
        </w:rPr>
        <w:t>LUG Turkey</w:t>
      </w:r>
      <w:r w:rsidR="009457B5" w:rsidRPr="003D24A1">
        <w:rPr>
          <w:rFonts w:asciiTheme="minorHAnsi" w:hAnsiTheme="minorHAnsi" w:cstheme="minorHAnsi"/>
          <w:sz w:val="20"/>
          <w:szCs w:val="20"/>
        </w:rPr>
        <w:t>, LUG Services Sp. z o.o., ESCOLIGHT Sp. z o.o.</w:t>
      </w:r>
      <w:r w:rsidR="002B3947" w:rsidRPr="003D24A1">
        <w:rPr>
          <w:rFonts w:asciiTheme="minorHAnsi" w:hAnsiTheme="minorHAnsi" w:cstheme="minorHAnsi"/>
          <w:sz w:val="20"/>
          <w:szCs w:val="20"/>
        </w:rPr>
        <w:t xml:space="preserve"> oraz LUG West Africa Ltd</w:t>
      </w:r>
      <w:r w:rsidRPr="003D24A1">
        <w:rPr>
          <w:rFonts w:asciiTheme="minorHAnsi" w:hAnsiTheme="minorHAnsi" w:cstheme="minorHAnsi"/>
          <w:sz w:val="20"/>
          <w:szCs w:val="20"/>
        </w:rPr>
        <w:t>. LUG S.A. od listopada 2007 roku jest</w:t>
      </w:r>
      <w:r w:rsidR="009457B5" w:rsidRPr="003D24A1">
        <w:rPr>
          <w:rFonts w:asciiTheme="minorHAnsi" w:hAnsiTheme="minorHAnsi" w:cstheme="minorHAnsi"/>
          <w:sz w:val="20"/>
          <w:szCs w:val="20"/>
        </w:rPr>
        <w:t> </w:t>
      </w:r>
      <w:r w:rsidRPr="003D24A1">
        <w:rPr>
          <w:rFonts w:asciiTheme="minorHAnsi" w:hAnsiTheme="minorHAnsi" w:cstheme="minorHAnsi"/>
          <w:sz w:val="20"/>
          <w:szCs w:val="20"/>
        </w:rPr>
        <w:t xml:space="preserve">notowana na rynku NewConnect zarządzanym przez warszawską GPW. Więcej informacji: </w:t>
      </w:r>
      <w:hyperlink r:id="rId8" w:history="1">
        <w:r w:rsidRPr="003D24A1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34CDC561" w14:textId="65EFCD00" w:rsidR="00C201A7" w:rsidRDefault="00C201A7" w:rsidP="00F21B5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985A08" w14:textId="77777777" w:rsidR="00C201A7" w:rsidRPr="00F21B54" w:rsidRDefault="00C201A7" w:rsidP="00F21B5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C201A7" w:rsidRDefault="00D45343" w:rsidP="00F21B54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01A7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F21B54" w:rsidRDefault="00D45343" w:rsidP="00C201A7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Default="00D45343" w:rsidP="00C201A7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F21B54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F21B54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>
        <w:rPr>
          <w:rFonts w:asciiTheme="minorHAnsi" w:hAnsiTheme="minorHAnsi" w:cstheme="minorHAnsi"/>
          <w:sz w:val="20"/>
          <w:szCs w:val="20"/>
        </w:rPr>
        <w:t xml:space="preserve">i, tel. </w:t>
      </w:r>
      <w:r w:rsidRPr="00C201A7">
        <w:rPr>
          <w:rFonts w:asciiTheme="minorHAnsi" w:hAnsiTheme="minorHAnsi" w:cstheme="minorHAnsi"/>
          <w:sz w:val="20"/>
          <w:szCs w:val="20"/>
        </w:rPr>
        <w:t>+48 510 183</w:t>
      </w:r>
      <w:r w:rsidR="00C201A7">
        <w:rPr>
          <w:rFonts w:asciiTheme="minorHAnsi" w:hAnsiTheme="minorHAnsi" w:cstheme="minorHAnsi"/>
          <w:sz w:val="20"/>
          <w:szCs w:val="20"/>
        </w:rPr>
        <w:t> </w:t>
      </w:r>
      <w:r w:rsidRPr="00C201A7">
        <w:rPr>
          <w:rFonts w:asciiTheme="minorHAnsi" w:hAnsiTheme="minorHAnsi" w:cstheme="minorHAnsi"/>
          <w:sz w:val="20"/>
          <w:szCs w:val="20"/>
        </w:rPr>
        <w:t>993</w:t>
      </w:r>
      <w:r w:rsidR="00C201A7">
        <w:rPr>
          <w:rFonts w:asciiTheme="minorHAnsi" w:hAnsiTheme="minorHAnsi" w:cstheme="minorHAnsi"/>
          <w:sz w:val="20"/>
          <w:szCs w:val="20"/>
        </w:rPr>
        <w:t>, e-mail:</w:t>
      </w:r>
      <w:r w:rsidRPr="00C201A7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C201A7" w:rsidRPr="00F75348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2FF1A496" w14:textId="4D3E0416" w:rsidR="00D45343" w:rsidRPr="00C201A7" w:rsidRDefault="00C201A7" w:rsidP="00C201A7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00CF7">
        <w:rPr>
          <w:rFonts w:asciiTheme="minorHAnsi" w:hAnsiTheme="minorHAnsi" w:cstheme="minorHAnsi"/>
          <w:b/>
          <w:bCs/>
          <w:sz w:val="20"/>
          <w:szCs w:val="20"/>
          <w:lang w:val="en-US"/>
        </w:rPr>
        <w:t>Kamila Górczyńska</w:t>
      </w:r>
      <w:r w:rsidRPr="00C201A7">
        <w:rPr>
          <w:rFonts w:asciiTheme="minorHAnsi" w:hAnsiTheme="minorHAnsi" w:cstheme="minorHAnsi"/>
          <w:sz w:val="20"/>
          <w:szCs w:val="20"/>
          <w:lang w:val="en-US"/>
        </w:rPr>
        <w:t xml:space="preserve">, In Touch, tel.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+48 601 805 484, e-mail: </w:t>
      </w:r>
      <w:hyperlink r:id="rId10" w:history="1">
        <w:r w:rsidRPr="00F75348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kamila.zyzkowska@intouchpr.pl</w:t>
        </w:r>
      </w:hyperlink>
      <w:r w:rsidR="00D45343" w:rsidRPr="00C201A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C201A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C201A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45343" w:rsidRPr="00C201A7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443D320" w14:textId="77777777" w:rsidR="00D45343" w:rsidRPr="00C201A7" w:rsidRDefault="00D45343" w:rsidP="00F21B54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en-US"/>
        </w:rPr>
      </w:pPr>
    </w:p>
    <w:p w14:paraId="55F49D95" w14:textId="77777777" w:rsidR="002A2736" w:rsidRPr="00C201A7" w:rsidRDefault="002A2736" w:rsidP="00F21B54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sectPr w:rsidR="002A2736" w:rsidRPr="00C201A7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5362" w14:textId="77777777" w:rsidR="00250F5C" w:rsidRDefault="00250F5C">
      <w:r>
        <w:separator/>
      </w:r>
    </w:p>
  </w:endnote>
  <w:endnote w:type="continuationSeparator" w:id="0">
    <w:p w14:paraId="3A123FAB" w14:textId="77777777" w:rsidR="00250F5C" w:rsidRDefault="0025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alibri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1D44" w14:textId="77777777" w:rsidR="00250F5C" w:rsidRDefault="00250F5C">
      <w:r>
        <w:separator/>
      </w:r>
    </w:p>
  </w:footnote>
  <w:footnote w:type="continuationSeparator" w:id="0">
    <w:p w14:paraId="69DABB60" w14:textId="77777777" w:rsidR="00250F5C" w:rsidRDefault="0025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318"/>
    <w:multiLevelType w:val="hybridMultilevel"/>
    <w:tmpl w:val="5C209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2D60"/>
    <w:multiLevelType w:val="hybridMultilevel"/>
    <w:tmpl w:val="CE40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374941"/>
    <w:multiLevelType w:val="hybridMultilevel"/>
    <w:tmpl w:val="F93E5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2248"/>
    <w:multiLevelType w:val="hybridMultilevel"/>
    <w:tmpl w:val="A08C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19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8"/>
    <w:rsid w:val="00013146"/>
    <w:rsid w:val="0003379D"/>
    <w:rsid w:val="00041B56"/>
    <w:rsid w:val="00054F99"/>
    <w:rsid w:val="000559BD"/>
    <w:rsid w:val="00064003"/>
    <w:rsid w:val="00072A1C"/>
    <w:rsid w:val="00074DD0"/>
    <w:rsid w:val="000821FE"/>
    <w:rsid w:val="00090935"/>
    <w:rsid w:val="000C0FCB"/>
    <w:rsid w:val="000C7DDC"/>
    <w:rsid w:val="000D23A8"/>
    <w:rsid w:val="000F61C5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50D07"/>
    <w:rsid w:val="001655C4"/>
    <w:rsid w:val="00170496"/>
    <w:rsid w:val="001776C6"/>
    <w:rsid w:val="00180BD6"/>
    <w:rsid w:val="00191E3D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007F"/>
    <w:rsid w:val="00214312"/>
    <w:rsid w:val="00214C2B"/>
    <w:rsid w:val="00220A66"/>
    <w:rsid w:val="00230065"/>
    <w:rsid w:val="0024624B"/>
    <w:rsid w:val="00250F5C"/>
    <w:rsid w:val="002551BF"/>
    <w:rsid w:val="00263683"/>
    <w:rsid w:val="002732FB"/>
    <w:rsid w:val="00280B48"/>
    <w:rsid w:val="00284FD0"/>
    <w:rsid w:val="002937F7"/>
    <w:rsid w:val="00294DAF"/>
    <w:rsid w:val="002A2736"/>
    <w:rsid w:val="002A4B7D"/>
    <w:rsid w:val="002B3947"/>
    <w:rsid w:val="002C06E9"/>
    <w:rsid w:val="002C2136"/>
    <w:rsid w:val="002C57A7"/>
    <w:rsid w:val="002D5E50"/>
    <w:rsid w:val="002D68B3"/>
    <w:rsid w:val="00332B11"/>
    <w:rsid w:val="00336495"/>
    <w:rsid w:val="00342A2B"/>
    <w:rsid w:val="00343D7F"/>
    <w:rsid w:val="00346839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A3890"/>
    <w:rsid w:val="003B575E"/>
    <w:rsid w:val="003B59D6"/>
    <w:rsid w:val="003D24A1"/>
    <w:rsid w:val="004010D6"/>
    <w:rsid w:val="00406C90"/>
    <w:rsid w:val="00420541"/>
    <w:rsid w:val="0043766E"/>
    <w:rsid w:val="00441DBD"/>
    <w:rsid w:val="004568FA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3CE3"/>
    <w:rsid w:val="00501B4A"/>
    <w:rsid w:val="005075C2"/>
    <w:rsid w:val="00513052"/>
    <w:rsid w:val="00531831"/>
    <w:rsid w:val="00544BF7"/>
    <w:rsid w:val="00553F98"/>
    <w:rsid w:val="00556C77"/>
    <w:rsid w:val="00566BBA"/>
    <w:rsid w:val="00574169"/>
    <w:rsid w:val="005754ED"/>
    <w:rsid w:val="00586E07"/>
    <w:rsid w:val="005A3D71"/>
    <w:rsid w:val="005B1722"/>
    <w:rsid w:val="005C389E"/>
    <w:rsid w:val="005E7A6A"/>
    <w:rsid w:val="005F76FD"/>
    <w:rsid w:val="00600CF7"/>
    <w:rsid w:val="0062185E"/>
    <w:rsid w:val="00622426"/>
    <w:rsid w:val="006268D7"/>
    <w:rsid w:val="00655B2F"/>
    <w:rsid w:val="00657990"/>
    <w:rsid w:val="00672866"/>
    <w:rsid w:val="006901B2"/>
    <w:rsid w:val="006945E8"/>
    <w:rsid w:val="006A1709"/>
    <w:rsid w:val="006A1FEB"/>
    <w:rsid w:val="006A44D3"/>
    <w:rsid w:val="006A7553"/>
    <w:rsid w:val="006C2CB0"/>
    <w:rsid w:val="006D0543"/>
    <w:rsid w:val="006D1F0D"/>
    <w:rsid w:val="006E6939"/>
    <w:rsid w:val="006E792E"/>
    <w:rsid w:val="006E7A6D"/>
    <w:rsid w:val="006F4451"/>
    <w:rsid w:val="006F7818"/>
    <w:rsid w:val="00711058"/>
    <w:rsid w:val="00732851"/>
    <w:rsid w:val="007437B3"/>
    <w:rsid w:val="00746442"/>
    <w:rsid w:val="007518F1"/>
    <w:rsid w:val="007531E0"/>
    <w:rsid w:val="007636FB"/>
    <w:rsid w:val="00767BA7"/>
    <w:rsid w:val="007749D8"/>
    <w:rsid w:val="00776828"/>
    <w:rsid w:val="00781648"/>
    <w:rsid w:val="007852CD"/>
    <w:rsid w:val="007858B1"/>
    <w:rsid w:val="00795FC2"/>
    <w:rsid w:val="007A2D9D"/>
    <w:rsid w:val="007B1CD6"/>
    <w:rsid w:val="007C0078"/>
    <w:rsid w:val="007C4322"/>
    <w:rsid w:val="007C43D9"/>
    <w:rsid w:val="007D4D44"/>
    <w:rsid w:val="007F0CFA"/>
    <w:rsid w:val="007F1608"/>
    <w:rsid w:val="007F2E15"/>
    <w:rsid w:val="007F4334"/>
    <w:rsid w:val="00804AAC"/>
    <w:rsid w:val="0080622F"/>
    <w:rsid w:val="008134C9"/>
    <w:rsid w:val="00813A55"/>
    <w:rsid w:val="00826DB1"/>
    <w:rsid w:val="0083292C"/>
    <w:rsid w:val="00842080"/>
    <w:rsid w:val="00850E4C"/>
    <w:rsid w:val="00861805"/>
    <w:rsid w:val="0086504F"/>
    <w:rsid w:val="00871724"/>
    <w:rsid w:val="00872D84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9127BF"/>
    <w:rsid w:val="00914DB9"/>
    <w:rsid w:val="0092679B"/>
    <w:rsid w:val="009315E1"/>
    <w:rsid w:val="00935C9B"/>
    <w:rsid w:val="009457B5"/>
    <w:rsid w:val="00955FB9"/>
    <w:rsid w:val="0097462B"/>
    <w:rsid w:val="009753E7"/>
    <w:rsid w:val="0099575A"/>
    <w:rsid w:val="009B4120"/>
    <w:rsid w:val="009C0E80"/>
    <w:rsid w:val="009C278E"/>
    <w:rsid w:val="009C4BEF"/>
    <w:rsid w:val="009F3B14"/>
    <w:rsid w:val="009F5288"/>
    <w:rsid w:val="00A0186C"/>
    <w:rsid w:val="00A03E4E"/>
    <w:rsid w:val="00A04BDA"/>
    <w:rsid w:val="00A22730"/>
    <w:rsid w:val="00A3323B"/>
    <w:rsid w:val="00A363B5"/>
    <w:rsid w:val="00A40333"/>
    <w:rsid w:val="00A83E2A"/>
    <w:rsid w:val="00A955BD"/>
    <w:rsid w:val="00A96C16"/>
    <w:rsid w:val="00AB14B5"/>
    <w:rsid w:val="00AB2089"/>
    <w:rsid w:val="00AC77CB"/>
    <w:rsid w:val="00AE1374"/>
    <w:rsid w:val="00AE457F"/>
    <w:rsid w:val="00AF1E57"/>
    <w:rsid w:val="00AF2057"/>
    <w:rsid w:val="00B11C35"/>
    <w:rsid w:val="00B20FDC"/>
    <w:rsid w:val="00B30281"/>
    <w:rsid w:val="00B340D3"/>
    <w:rsid w:val="00B76BF4"/>
    <w:rsid w:val="00B77EA1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E30E4"/>
    <w:rsid w:val="00BF114C"/>
    <w:rsid w:val="00BF4415"/>
    <w:rsid w:val="00C01B57"/>
    <w:rsid w:val="00C0287F"/>
    <w:rsid w:val="00C05A86"/>
    <w:rsid w:val="00C06221"/>
    <w:rsid w:val="00C10246"/>
    <w:rsid w:val="00C124E6"/>
    <w:rsid w:val="00C1452A"/>
    <w:rsid w:val="00C201A7"/>
    <w:rsid w:val="00C202C8"/>
    <w:rsid w:val="00C40EB0"/>
    <w:rsid w:val="00C45440"/>
    <w:rsid w:val="00C474D8"/>
    <w:rsid w:val="00C53545"/>
    <w:rsid w:val="00C55A35"/>
    <w:rsid w:val="00C55A70"/>
    <w:rsid w:val="00C6317B"/>
    <w:rsid w:val="00C73AF9"/>
    <w:rsid w:val="00C74955"/>
    <w:rsid w:val="00C74979"/>
    <w:rsid w:val="00C971F1"/>
    <w:rsid w:val="00C97AF6"/>
    <w:rsid w:val="00CB26B0"/>
    <w:rsid w:val="00CE1862"/>
    <w:rsid w:val="00CF7071"/>
    <w:rsid w:val="00D00539"/>
    <w:rsid w:val="00D06519"/>
    <w:rsid w:val="00D16C3B"/>
    <w:rsid w:val="00D226E8"/>
    <w:rsid w:val="00D26087"/>
    <w:rsid w:val="00D27185"/>
    <w:rsid w:val="00D3787A"/>
    <w:rsid w:val="00D444D8"/>
    <w:rsid w:val="00D45343"/>
    <w:rsid w:val="00D53F5D"/>
    <w:rsid w:val="00D54FE9"/>
    <w:rsid w:val="00D5748E"/>
    <w:rsid w:val="00D60ADA"/>
    <w:rsid w:val="00D72456"/>
    <w:rsid w:val="00D7746C"/>
    <w:rsid w:val="00D823E0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46CE2"/>
    <w:rsid w:val="00E53508"/>
    <w:rsid w:val="00E72999"/>
    <w:rsid w:val="00E763D9"/>
    <w:rsid w:val="00E93A15"/>
    <w:rsid w:val="00E94076"/>
    <w:rsid w:val="00ED0135"/>
    <w:rsid w:val="00EE3DB7"/>
    <w:rsid w:val="00EE677D"/>
    <w:rsid w:val="00F15206"/>
    <w:rsid w:val="00F15D7C"/>
    <w:rsid w:val="00F21B54"/>
    <w:rsid w:val="00F21EB2"/>
    <w:rsid w:val="00F444DA"/>
    <w:rsid w:val="00F45096"/>
    <w:rsid w:val="00F50051"/>
    <w:rsid w:val="00F5040C"/>
    <w:rsid w:val="00F60E1E"/>
    <w:rsid w:val="00F82806"/>
    <w:rsid w:val="00F92D78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05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styleId="Nierozpoznanawzmianka">
    <w:name w:val="Unresolved Mention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005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1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zyzkowska@intouch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5807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3</cp:revision>
  <cp:lastPrinted>2020-12-16T11:57:00Z</cp:lastPrinted>
  <dcterms:created xsi:type="dcterms:W3CDTF">2020-12-22T12:51:00Z</dcterms:created>
  <dcterms:modified xsi:type="dcterms:W3CDTF">2020-12-23T14:16:00Z</dcterms:modified>
</cp:coreProperties>
</file>