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0BA1" w14:textId="31164329" w:rsidR="00D2390D" w:rsidRPr="006D1E2F" w:rsidRDefault="006D1E2F" w:rsidP="00D2390D">
      <w:pPr>
        <w:pStyle w:val="Nagwek1"/>
        <w:spacing w:before="120"/>
        <w:jc w:val="right"/>
        <w:rPr>
          <w:rFonts w:ascii="Calibri" w:hAnsi="Calibri" w:cs="Tahoma"/>
          <w:color w:val="404040"/>
          <w:sz w:val="22"/>
          <w:szCs w:val="22"/>
        </w:rPr>
      </w:pPr>
      <w:r>
        <w:rPr>
          <w:rFonts w:ascii="Calibri" w:hAnsi="Calibri" w:cs="Tahoma"/>
          <w:color w:val="404040"/>
          <w:sz w:val="22"/>
          <w:szCs w:val="22"/>
        </w:rPr>
        <w:t>KOMUNIKAT PRASOWY</w:t>
      </w:r>
    </w:p>
    <w:p w14:paraId="5ED9EF83" w14:textId="6FA42D37" w:rsidR="005B1722" w:rsidRDefault="00C371F3" w:rsidP="00DF5F51">
      <w:pPr>
        <w:jc w:val="right"/>
        <w:rPr>
          <w:rFonts w:ascii="Calibri" w:hAnsi="Calibri"/>
          <w:sz w:val="22"/>
          <w:szCs w:val="22"/>
        </w:rPr>
      </w:pPr>
      <w:r w:rsidRPr="00430C67">
        <w:rPr>
          <w:rFonts w:ascii="Calibri" w:hAnsi="Calibri"/>
          <w:sz w:val="22"/>
          <w:szCs w:val="22"/>
        </w:rPr>
        <w:t>0</w:t>
      </w:r>
      <w:r w:rsidR="00673519" w:rsidRPr="00430C67">
        <w:rPr>
          <w:rFonts w:ascii="Calibri" w:hAnsi="Calibri"/>
          <w:sz w:val="22"/>
          <w:szCs w:val="22"/>
        </w:rPr>
        <w:t>9</w:t>
      </w:r>
      <w:r w:rsidR="00DF5F51" w:rsidRPr="00430C67">
        <w:rPr>
          <w:rFonts w:ascii="Calibri" w:hAnsi="Calibri"/>
          <w:sz w:val="22"/>
          <w:szCs w:val="22"/>
        </w:rPr>
        <w:t>.</w:t>
      </w:r>
      <w:r w:rsidR="00C73B48" w:rsidRPr="00430C67">
        <w:rPr>
          <w:rFonts w:ascii="Calibri" w:hAnsi="Calibri"/>
          <w:sz w:val="22"/>
          <w:szCs w:val="22"/>
        </w:rPr>
        <w:t>0</w:t>
      </w:r>
      <w:r w:rsidR="00A94CB5" w:rsidRPr="00430C67">
        <w:rPr>
          <w:rFonts w:ascii="Calibri" w:hAnsi="Calibri"/>
          <w:sz w:val="22"/>
          <w:szCs w:val="22"/>
        </w:rPr>
        <w:t>8</w:t>
      </w:r>
      <w:r w:rsidR="00DF5F51" w:rsidRPr="00430C67">
        <w:rPr>
          <w:rFonts w:ascii="Calibri" w:hAnsi="Calibri"/>
          <w:sz w:val="22"/>
          <w:szCs w:val="22"/>
        </w:rPr>
        <w:t>.201</w:t>
      </w:r>
      <w:r w:rsidR="00C73B48" w:rsidRPr="00430C67">
        <w:rPr>
          <w:rFonts w:ascii="Calibri" w:hAnsi="Calibri"/>
          <w:sz w:val="22"/>
          <w:szCs w:val="22"/>
        </w:rPr>
        <w:t>7</w:t>
      </w:r>
      <w:r w:rsidR="00DF5F51" w:rsidRPr="00430C67">
        <w:rPr>
          <w:rFonts w:ascii="Calibri" w:hAnsi="Calibri"/>
          <w:sz w:val="22"/>
          <w:szCs w:val="22"/>
        </w:rPr>
        <w:t>r.</w:t>
      </w:r>
    </w:p>
    <w:p w14:paraId="69C64E20" w14:textId="77777777"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14:paraId="13CB7304" w14:textId="77777777" w:rsidR="00FC35CC" w:rsidRPr="00E2706C" w:rsidRDefault="00FC35CC" w:rsidP="00FC35CC">
      <w:pPr>
        <w:jc w:val="right"/>
        <w:rPr>
          <w:rFonts w:ascii="Calibri" w:hAnsi="Calibri"/>
          <w:szCs w:val="22"/>
        </w:rPr>
      </w:pPr>
    </w:p>
    <w:p w14:paraId="7F081AE5" w14:textId="357D4FDE" w:rsidR="00FC35CC" w:rsidRPr="006D1E2F" w:rsidRDefault="00673519" w:rsidP="00FC35CC">
      <w:pP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Skonsolidowane w</w:t>
      </w:r>
      <w:r w:rsidR="00FC35CC" w:rsidRPr="006D1E2F">
        <w:rPr>
          <w:rFonts w:ascii="Calibri" w:hAnsi="Calibri"/>
          <w:color w:val="595959" w:themeColor="text1" w:themeTint="A6"/>
          <w:sz w:val="22"/>
          <w:szCs w:val="22"/>
        </w:rPr>
        <w:t>ynik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>i Grupy Kapitałowej LUG S.A. za II kwartał</w:t>
      </w:r>
      <w:r w:rsidR="00697D12">
        <w:rPr>
          <w:rFonts w:ascii="Calibri" w:hAnsi="Calibri"/>
          <w:color w:val="595959" w:themeColor="text1" w:themeTint="A6"/>
          <w:sz w:val="22"/>
          <w:szCs w:val="22"/>
        </w:rPr>
        <w:t xml:space="preserve"> i </w:t>
      </w:r>
      <w:proofErr w:type="spellStart"/>
      <w:r w:rsidR="00697D12">
        <w:rPr>
          <w:rFonts w:ascii="Calibri" w:hAnsi="Calibri"/>
          <w:color w:val="595959" w:themeColor="text1" w:themeTint="A6"/>
          <w:sz w:val="22"/>
          <w:szCs w:val="22"/>
        </w:rPr>
        <w:t>I</w:t>
      </w:r>
      <w:proofErr w:type="spellEnd"/>
      <w:r w:rsidR="00697D12">
        <w:rPr>
          <w:rFonts w:ascii="Calibri" w:hAnsi="Calibri"/>
          <w:color w:val="595959" w:themeColor="text1" w:themeTint="A6"/>
          <w:sz w:val="22"/>
          <w:szCs w:val="22"/>
        </w:rPr>
        <w:t xml:space="preserve"> półrocze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FC35CC" w:rsidRPr="006D1E2F">
        <w:rPr>
          <w:rFonts w:ascii="Calibri" w:hAnsi="Calibri"/>
          <w:color w:val="595959" w:themeColor="text1" w:themeTint="A6"/>
          <w:sz w:val="22"/>
          <w:szCs w:val="22"/>
        </w:rPr>
        <w:t>2017 rok</w:t>
      </w:r>
      <w:r w:rsidR="00601ABA">
        <w:rPr>
          <w:rFonts w:ascii="Calibri" w:hAnsi="Calibri"/>
          <w:color w:val="595959" w:themeColor="text1" w:themeTint="A6"/>
          <w:sz w:val="22"/>
          <w:szCs w:val="22"/>
        </w:rPr>
        <w:t>u</w:t>
      </w:r>
      <w:r w:rsidR="00FC35CC" w:rsidRPr="006D1E2F">
        <w:rPr>
          <w:rFonts w:ascii="Calibri" w:hAnsi="Calibri"/>
          <w:color w:val="595959" w:themeColor="text1" w:themeTint="A6"/>
          <w:sz w:val="22"/>
          <w:szCs w:val="22"/>
        </w:rPr>
        <w:t xml:space="preserve">: </w:t>
      </w:r>
      <w:r w:rsidR="006D1E2F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1E0960A6" w14:textId="521EF044" w:rsidR="00FC35CC" w:rsidRPr="00E11BC2" w:rsidRDefault="00A94CB5" w:rsidP="00FC35CC">
      <w:pPr>
        <w:rPr>
          <w:rFonts w:ascii="Calibri" w:hAnsi="Calibri"/>
          <w:b/>
          <w:sz w:val="28"/>
          <w:szCs w:val="28"/>
        </w:rPr>
      </w:pPr>
      <w:r w:rsidRPr="006D1E2F">
        <w:rPr>
          <w:rFonts w:ascii="Calibri" w:hAnsi="Calibri"/>
          <w:b/>
          <w:sz w:val="28"/>
          <w:szCs w:val="28"/>
        </w:rPr>
        <w:t>LUG SA</w:t>
      </w:r>
      <w:r w:rsidR="00E11BC2">
        <w:rPr>
          <w:rFonts w:ascii="Calibri" w:hAnsi="Calibri"/>
          <w:b/>
          <w:sz w:val="28"/>
          <w:szCs w:val="28"/>
        </w:rPr>
        <w:t xml:space="preserve"> - stabilny rozwój i wzrost rentowności. </w:t>
      </w:r>
      <w:r w:rsidR="00E11BC2">
        <w:rPr>
          <w:rFonts w:ascii="Calibri" w:hAnsi="Calibri"/>
          <w:b/>
          <w:sz w:val="28"/>
          <w:szCs w:val="28"/>
        </w:rPr>
        <w:br/>
      </w:r>
      <w:r w:rsidR="00D06072">
        <w:rPr>
          <w:rFonts w:ascii="Calibri" w:hAnsi="Calibri"/>
          <w:b/>
          <w:sz w:val="28"/>
          <w:szCs w:val="28"/>
        </w:rPr>
        <w:t>II k</w:t>
      </w:r>
      <w:r w:rsidR="00E11BC2">
        <w:rPr>
          <w:rFonts w:ascii="Calibri" w:hAnsi="Calibri"/>
          <w:b/>
          <w:sz w:val="28"/>
          <w:szCs w:val="28"/>
        </w:rPr>
        <w:t xml:space="preserve">wartał </w:t>
      </w:r>
      <w:r w:rsidR="00D06072">
        <w:rPr>
          <w:rFonts w:ascii="Calibri" w:hAnsi="Calibri"/>
          <w:b/>
          <w:sz w:val="28"/>
          <w:szCs w:val="28"/>
        </w:rPr>
        <w:t xml:space="preserve">2017 roku </w:t>
      </w:r>
      <w:r w:rsidR="00E11BC2">
        <w:rPr>
          <w:rFonts w:ascii="Calibri" w:hAnsi="Calibri"/>
          <w:b/>
          <w:sz w:val="28"/>
          <w:szCs w:val="28"/>
        </w:rPr>
        <w:t xml:space="preserve">obfitował w istotne dla rozwoju spółki decyzje. </w:t>
      </w:r>
    </w:p>
    <w:p w14:paraId="68CD920D" w14:textId="77777777" w:rsidR="00FC35CC" w:rsidRPr="00F13299" w:rsidRDefault="00FC35CC" w:rsidP="001643B5">
      <w:pPr>
        <w:rPr>
          <w:rFonts w:asciiTheme="minorHAnsi" w:hAnsiTheme="minorHAnsi"/>
          <w:b/>
          <w:noProof/>
          <w:sz w:val="22"/>
          <w:szCs w:val="22"/>
        </w:rPr>
      </w:pPr>
    </w:p>
    <w:p w14:paraId="463D729F" w14:textId="79F27278" w:rsidR="00A2277F" w:rsidRPr="00AE406B" w:rsidRDefault="00D04ABE" w:rsidP="00A2277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AE406B">
        <w:rPr>
          <w:rFonts w:asciiTheme="minorHAnsi" w:hAnsiTheme="minorHAnsi"/>
          <w:b/>
        </w:rPr>
        <w:t>33,31 mln zł (+7,0</w:t>
      </w:r>
      <w:r w:rsidR="00697D12" w:rsidRPr="00AE406B">
        <w:rPr>
          <w:rFonts w:asciiTheme="minorHAnsi" w:hAnsiTheme="minorHAnsi"/>
          <w:b/>
        </w:rPr>
        <w:t>% r/r) skonsolidowan</w:t>
      </w:r>
      <w:r w:rsidR="002B0004" w:rsidRPr="00AE406B">
        <w:rPr>
          <w:rFonts w:asciiTheme="minorHAnsi" w:hAnsiTheme="minorHAnsi"/>
          <w:b/>
        </w:rPr>
        <w:t>ych przychodów ze sprzedaży w II</w:t>
      </w:r>
      <w:r w:rsidRPr="00AE406B">
        <w:rPr>
          <w:rFonts w:asciiTheme="minorHAnsi" w:hAnsiTheme="minorHAnsi"/>
          <w:b/>
        </w:rPr>
        <w:t xml:space="preserve"> kwartale</w:t>
      </w:r>
      <w:r w:rsidR="00A2277F" w:rsidRPr="00AE406B">
        <w:rPr>
          <w:rFonts w:asciiTheme="minorHAnsi" w:hAnsiTheme="minorHAnsi"/>
          <w:b/>
        </w:rPr>
        <w:t xml:space="preserve"> 2017 r.</w:t>
      </w:r>
      <w:r w:rsidR="005F1C78" w:rsidRPr="00AE406B">
        <w:rPr>
          <w:rFonts w:asciiTheme="minorHAnsi" w:hAnsiTheme="minorHAnsi"/>
          <w:b/>
        </w:rPr>
        <w:t>;</w:t>
      </w:r>
    </w:p>
    <w:p w14:paraId="2C846C59" w14:textId="57678DA0" w:rsidR="00D04ABE" w:rsidRPr="00AE406B" w:rsidRDefault="00363FEB" w:rsidP="00A2277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AE406B">
        <w:rPr>
          <w:rFonts w:asciiTheme="minorHAnsi" w:hAnsiTheme="minorHAnsi"/>
          <w:b/>
        </w:rPr>
        <w:t xml:space="preserve">Dynamiczny wzrost eksportu do poziomu </w:t>
      </w:r>
      <w:r w:rsidR="00D04ABE" w:rsidRPr="00AE406B">
        <w:rPr>
          <w:rFonts w:asciiTheme="minorHAnsi" w:hAnsiTheme="minorHAnsi"/>
          <w:b/>
        </w:rPr>
        <w:t>19,42 mln zł (+11,7% r/r</w:t>
      </w:r>
      <w:r w:rsidR="00FB40A0">
        <w:rPr>
          <w:rFonts w:asciiTheme="minorHAnsi" w:hAnsiTheme="minorHAnsi"/>
          <w:b/>
        </w:rPr>
        <w:t>)</w:t>
      </w:r>
      <w:r w:rsidR="00D04ABE" w:rsidRPr="00AE406B">
        <w:rPr>
          <w:rFonts w:asciiTheme="minorHAnsi" w:hAnsiTheme="minorHAnsi"/>
          <w:b/>
        </w:rPr>
        <w:t xml:space="preserve"> </w:t>
      </w:r>
      <w:r w:rsidR="005F1C78" w:rsidRPr="00AE406B">
        <w:rPr>
          <w:rFonts w:asciiTheme="minorHAnsi" w:hAnsiTheme="minorHAnsi"/>
          <w:b/>
        </w:rPr>
        <w:t>;</w:t>
      </w:r>
    </w:p>
    <w:p w14:paraId="1CFD13BF" w14:textId="4B45D972" w:rsidR="00363FEB" w:rsidRPr="00AE406B" w:rsidRDefault="00D04ABE" w:rsidP="005F1C7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AE406B">
        <w:rPr>
          <w:rFonts w:asciiTheme="minorHAnsi" w:hAnsiTheme="minorHAnsi"/>
          <w:b/>
        </w:rPr>
        <w:t>2,34 mln zł (+15% r/r) z</w:t>
      </w:r>
      <w:r w:rsidR="005F1C78" w:rsidRPr="00AE406B">
        <w:rPr>
          <w:rFonts w:asciiTheme="minorHAnsi" w:hAnsiTheme="minorHAnsi"/>
          <w:b/>
        </w:rPr>
        <w:t xml:space="preserve">ysku </w:t>
      </w:r>
      <w:r w:rsidR="00E11BC2" w:rsidRPr="00AE406B">
        <w:rPr>
          <w:rFonts w:asciiTheme="minorHAnsi" w:hAnsiTheme="minorHAnsi"/>
          <w:b/>
        </w:rPr>
        <w:t>EBITDA</w:t>
      </w:r>
      <w:r w:rsidR="00FE68CA" w:rsidRPr="00AE406B">
        <w:rPr>
          <w:rFonts w:asciiTheme="minorHAnsi" w:hAnsiTheme="minorHAnsi"/>
          <w:b/>
        </w:rPr>
        <w:t xml:space="preserve">  </w:t>
      </w:r>
      <w:r w:rsidR="005F1C78" w:rsidRPr="00AE406B">
        <w:rPr>
          <w:rFonts w:asciiTheme="minorHAnsi" w:hAnsiTheme="minorHAnsi"/>
          <w:b/>
        </w:rPr>
        <w:t xml:space="preserve">i 1,3 </w:t>
      </w:r>
      <w:r w:rsidR="00363FEB" w:rsidRPr="00AE406B">
        <w:rPr>
          <w:rFonts w:asciiTheme="minorHAnsi" w:hAnsiTheme="minorHAnsi"/>
          <w:b/>
        </w:rPr>
        <w:t>mln zł zysku netto w I</w:t>
      </w:r>
      <w:r w:rsidR="005F1C78" w:rsidRPr="00AE406B">
        <w:rPr>
          <w:rFonts w:asciiTheme="minorHAnsi" w:hAnsiTheme="minorHAnsi"/>
          <w:b/>
        </w:rPr>
        <w:t>I kw. 2017 roku;</w:t>
      </w:r>
      <w:r w:rsidR="00363FEB" w:rsidRPr="00AE406B">
        <w:rPr>
          <w:rFonts w:asciiTheme="minorHAnsi" w:hAnsiTheme="minorHAnsi"/>
          <w:b/>
        </w:rPr>
        <w:t> </w:t>
      </w:r>
    </w:p>
    <w:p w14:paraId="5EBAA691" w14:textId="651E66B1" w:rsidR="00A2277F" w:rsidRPr="00AE406B" w:rsidRDefault="00A2277F" w:rsidP="00A2277F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AE406B">
        <w:rPr>
          <w:rFonts w:asciiTheme="minorHAnsi" w:hAnsiTheme="minorHAnsi"/>
          <w:b/>
        </w:rPr>
        <w:t>Powołanie do życia spółki LUG Argentina S.A.</w:t>
      </w:r>
      <w:r w:rsidR="005F1C78" w:rsidRPr="00AE406B">
        <w:rPr>
          <w:rFonts w:asciiTheme="minorHAnsi" w:hAnsiTheme="minorHAnsi"/>
          <w:b/>
        </w:rPr>
        <w:t>;</w:t>
      </w:r>
    </w:p>
    <w:p w14:paraId="77BD5E8B" w14:textId="6C240271" w:rsidR="00A2277F" w:rsidRPr="00AE406B" w:rsidRDefault="00A2277F" w:rsidP="005F1C78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</w:rPr>
      </w:pPr>
      <w:r w:rsidRPr="00AE406B">
        <w:rPr>
          <w:rFonts w:asciiTheme="minorHAnsi" w:hAnsiTheme="minorHAnsi"/>
          <w:b/>
        </w:rPr>
        <w:t>Uchwała o przeniesienie notowań na rynek regulowany oraz decyzja o wypłacie dywidendy  (0,14 zł za akcję)</w:t>
      </w:r>
      <w:r w:rsidR="00FB40A0">
        <w:rPr>
          <w:rFonts w:asciiTheme="minorHAnsi" w:hAnsiTheme="minorHAnsi"/>
          <w:b/>
        </w:rPr>
        <w:t>;</w:t>
      </w:r>
    </w:p>
    <w:p w14:paraId="21A9C61C" w14:textId="77777777" w:rsidR="005F1C78" w:rsidRPr="00420D49" w:rsidRDefault="005F1C78" w:rsidP="00420D49">
      <w:pPr>
        <w:rPr>
          <w:rFonts w:asciiTheme="minorHAnsi" w:hAnsiTheme="minorHAnsi"/>
        </w:rPr>
      </w:pPr>
    </w:p>
    <w:p w14:paraId="2B17EAD6" w14:textId="7EE59E79" w:rsidR="006620FD" w:rsidRPr="001A4E08" w:rsidRDefault="00FA3B0E" w:rsidP="0043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0E5226">
        <w:rPr>
          <w:rFonts w:asciiTheme="minorHAnsi" w:hAnsiTheme="minorHAnsi" w:cs="Arial"/>
          <w:b/>
          <w:sz w:val="22"/>
          <w:szCs w:val="22"/>
        </w:rPr>
        <w:t>becna na 68 rynkach świata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363FEB">
        <w:rPr>
          <w:rFonts w:asciiTheme="minorHAnsi" w:hAnsiTheme="minorHAnsi" w:cs="Arial"/>
          <w:b/>
          <w:sz w:val="22"/>
          <w:szCs w:val="22"/>
        </w:rPr>
        <w:t>Gru</w:t>
      </w:r>
      <w:r>
        <w:rPr>
          <w:rFonts w:asciiTheme="minorHAnsi" w:hAnsiTheme="minorHAnsi" w:cs="Arial"/>
          <w:b/>
          <w:sz w:val="22"/>
          <w:szCs w:val="22"/>
        </w:rPr>
        <w:t xml:space="preserve">pa Kapitałowa LUG S.A., </w:t>
      </w:r>
      <w:r w:rsidR="005F1C78">
        <w:rPr>
          <w:rFonts w:asciiTheme="minorHAnsi" w:hAnsiTheme="minorHAnsi" w:cs="Arial"/>
          <w:b/>
          <w:sz w:val="22"/>
          <w:szCs w:val="22"/>
        </w:rPr>
        <w:t xml:space="preserve">jeden z czołowych producentów </w:t>
      </w:r>
      <w:r w:rsidR="006D1E2F">
        <w:rPr>
          <w:rFonts w:asciiTheme="minorHAnsi" w:hAnsiTheme="minorHAnsi" w:cs="Arial"/>
          <w:b/>
          <w:sz w:val="22"/>
          <w:szCs w:val="22"/>
        </w:rPr>
        <w:t xml:space="preserve">systemowych rozwiązań </w:t>
      </w:r>
      <w:r w:rsidR="00B31B34" w:rsidRPr="008444E8">
        <w:rPr>
          <w:rFonts w:asciiTheme="minorHAnsi" w:hAnsiTheme="minorHAnsi" w:cs="Arial"/>
          <w:b/>
          <w:sz w:val="22"/>
          <w:szCs w:val="22"/>
        </w:rPr>
        <w:t>profesjonalnej techniki świetlnej</w:t>
      </w:r>
      <w:r w:rsidR="00601ABA">
        <w:rPr>
          <w:rFonts w:asciiTheme="minorHAnsi" w:hAnsiTheme="minorHAnsi" w:cs="Arial"/>
          <w:b/>
          <w:sz w:val="22"/>
          <w:szCs w:val="22"/>
        </w:rPr>
        <w:t>,</w:t>
      </w:r>
      <w:r w:rsidR="00FC35CC" w:rsidRPr="008444E8">
        <w:rPr>
          <w:rFonts w:asciiTheme="minorHAnsi" w:hAnsiTheme="minorHAnsi" w:cs="Arial"/>
          <w:b/>
          <w:sz w:val="22"/>
          <w:szCs w:val="22"/>
        </w:rPr>
        <w:t xml:space="preserve"> </w:t>
      </w:r>
      <w:r w:rsidR="00C874B7" w:rsidRPr="008444E8">
        <w:rPr>
          <w:rFonts w:asciiTheme="minorHAnsi" w:hAnsiTheme="minorHAnsi" w:cs="Arial"/>
          <w:b/>
          <w:sz w:val="22"/>
          <w:szCs w:val="22"/>
        </w:rPr>
        <w:t xml:space="preserve">opublikował </w:t>
      </w:r>
      <w:r w:rsidR="00B46DE4" w:rsidRPr="008444E8">
        <w:rPr>
          <w:rFonts w:asciiTheme="minorHAnsi" w:hAnsiTheme="minorHAnsi" w:cs="Arial"/>
          <w:b/>
          <w:sz w:val="22"/>
          <w:szCs w:val="22"/>
        </w:rPr>
        <w:t>s</w:t>
      </w:r>
      <w:r w:rsidR="000E5226">
        <w:rPr>
          <w:rFonts w:asciiTheme="minorHAnsi" w:hAnsiTheme="minorHAnsi" w:cs="Arial"/>
          <w:b/>
          <w:sz w:val="22"/>
          <w:szCs w:val="22"/>
        </w:rPr>
        <w:t xml:space="preserve">konsolidowane </w:t>
      </w:r>
      <w:r w:rsidR="00FC35CC" w:rsidRPr="008444E8">
        <w:rPr>
          <w:rFonts w:asciiTheme="minorHAnsi" w:hAnsiTheme="minorHAnsi" w:cs="Arial"/>
          <w:b/>
          <w:sz w:val="22"/>
          <w:szCs w:val="22"/>
        </w:rPr>
        <w:t xml:space="preserve">wyniki </w:t>
      </w:r>
      <w:r w:rsidR="00B31B34" w:rsidRPr="008444E8">
        <w:rPr>
          <w:rFonts w:asciiTheme="minorHAnsi" w:hAnsiTheme="minorHAnsi" w:cs="Arial"/>
          <w:b/>
          <w:sz w:val="22"/>
          <w:szCs w:val="22"/>
        </w:rPr>
        <w:t>za II kwartał i</w:t>
      </w:r>
      <w:r w:rsidR="00B93267" w:rsidRPr="008444E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150AD2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="00150AD2">
        <w:rPr>
          <w:rFonts w:asciiTheme="minorHAnsi" w:hAnsiTheme="minorHAnsi" w:cs="Arial"/>
          <w:b/>
          <w:sz w:val="22"/>
          <w:szCs w:val="22"/>
        </w:rPr>
        <w:t xml:space="preserve"> </w:t>
      </w:r>
      <w:r w:rsidR="00B93267" w:rsidRPr="00AE406B">
        <w:rPr>
          <w:rFonts w:asciiTheme="minorHAnsi" w:hAnsiTheme="minorHAnsi" w:cs="Arial"/>
          <w:b/>
          <w:sz w:val="22"/>
          <w:szCs w:val="22"/>
        </w:rPr>
        <w:t>półrocz</w:t>
      </w:r>
      <w:r w:rsidR="00B31B34" w:rsidRPr="00AE406B">
        <w:rPr>
          <w:rFonts w:asciiTheme="minorHAnsi" w:hAnsiTheme="minorHAnsi" w:cs="Arial"/>
          <w:b/>
          <w:sz w:val="22"/>
          <w:szCs w:val="22"/>
        </w:rPr>
        <w:t>e</w:t>
      </w:r>
      <w:r w:rsidR="00B93267" w:rsidRPr="00AE406B">
        <w:rPr>
          <w:rFonts w:asciiTheme="minorHAnsi" w:hAnsiTheme="minorHAnsi" w:cs="Arial"/>
          <w:b/>
          <w:sz w:val="22"/>
          <w:szCs w:val="22"/>
        </w:rPr>
        <w:t xml:space="preserve"> </w:t>
      </w:r>
      <w:r w:rsidR="00C90555" w:rsidRPr="00AE406B">
        <w:rPr>
          <w:rFonts w:asciiTheme="minorHAnsi" w:hAnsiTheme="minorHAnsi" w:cs="Arial"/>
          <w:b/>
          <w:sz w:val="22"/>
          <w:szCs w:val="22"/>
        </w:rPr>
        <w:t>2017</w:t>
      </w:r>
      <w:r w:rsidR="00B31B34" w:rsidRPr="00AE406B">
        <w:rPr>
          <w:rFonts w:asciiTheme="minorHAnsi" w:hAnsiTheme="minorHAnsi" w:cs="Arial"/>
          <w:b/>
          <w:sz w:val="22"/>
          <w:szCs w:val="22"/>
        </w:rPr>
        <w:t xml:space="preserve"> </w:t>
      </w:r>
      <w:r w:rsidR="00B93267" w:rsidRPr="00AE406B">
        <w:rPr>
          <w:rFonts w:asciiTheme="minorHAnsi" w:hAnsiTheme="minorHAnsi" w:cs="Arial"/>
          <w:b/>
          <w:sz w:val="22"/>
          <w:szCs w:val="22"/>
        </w:rPr>
        <w:t>roku</w:t>
      </w:r>
      <w:r w:rsidR="00486ABC" w:rsidRPr="00AE406B">
        <w:rPr>
          <w:rFonts w:asciiTheme="minorHAnsi" w:hAnsiTheme="minorHAnsi" w:cs="Arial"/>
          <w:b/>
          <w:sz w:val="22"/>
          <w:szCs w:val="22"/>
        </w:rPr>
        <w:t>.</w:t>
      </w:r>
      <w:r w:rsidR="006620FD" w:rsidRPr="00AE406B">
        <w:rPr>
          <w:rFonts w:asciiTheme="minorHAnsi" w:hAnsiTheme="minorHAnsi" w:cs="Arial"/>
          <w:b/>
          <w:sz w:val="22"/>
          <w:szCs w:val="22"/>
        </w:rPr>
        <w:t xml:space="preserve"> </w:t>
      </w:r>
      <w:r w:rsidR="00F977BC" w:rsidRPr="00AE406B">
        <w:rPr>
          <w:rFonts w:asciiTheme="minorHAnsi" w:hAnsiTheme="minorHAnsi" w:cs="Arial"/>
          <w:b/>
          <w:sz w:val="22"/>
          <w:szCs w:val="22"/>
        </w:rPr>
        <w:t>W I półroczu 2017 roku</w:t>
      </w:r>
      <w:r w:rsidRPr="00AE406B">
        <w:rPr>
          <w:rFonts w:asciiTheme="minorHAnsi" w:hAnsiTheme="minorHAnsi" w:cs="Arial"/>
          <w:b/>
          <w:sz w:val="22"/>
          <w:szCs w:val="22"/>
        </w:rPr>
        <w:t>,</w:t>
      </w:r>
      <w:r w:rsidR="00F977BC" w:rsidRPr="00AE406B">
        <w:rPr>
          <w:rFonts w:asciiTheme="minorHAnsi" w:hAnsiTheme="minorHAnsi" w:cs="Arial"/>
          <w:b/>
          <w:sz w:val="22"/>
          <w:szCs w:val="22"/>
        </w:rPr>
        <w:t xml:space="preserve"> LUG S</w:t>
      </w:r>
      <w:r w:rsidRPr="00AE406B">
        <w:rPr>
          <w:rFonts w:asciiTheme="minorHAnsi" w:hAnsiTheme="minorHAnsi" w:cs="Arial"/>
          <w:b/>
          <w:sz w:val="22"/>
          <w:szCs w:val="22"/>
        </w:rPr>
        <w:t>.</w:t>
      </w:r>
      <w:r w:rsidR="00F977BC" w:rsidRPr="00AE406B">
        <w:rPr>
          <w:rFonts w:asciiTheme="minorHAnsi" w:hAnsiTheme="minorHAnsi" w:cs="Arial"/>
          <w:b/>
          <w:sz w:val="22"/>
          <w:szCs w:val="22"/>
        </w:rPr>
        <w:t>A</w:t>
      </w:r>
      <w:r w:rsidRPr="00AE406B">
        <w:rPr>
          <w:rFonts w:asciiTheme="minorHAnsi" w:hAnsiTheme="minorHAnsi" w:cs="Arial"/>
          <w:b/>
          <w:sz w:val="22"/>
          <w:szCs w:val="22"/>
        </w:rPr>
        <w:t>.</w:t>
      </w:r>
      <w:r w:rsidR="00F977BC" w:rsidRPr="00AE406B">
        <w:rPr>
          <w:rFonts w:asciiTheme="minorHAnsi" w:hAnsiTheme="minorHAnsi" w:cs="Arial"/>
          <w:b/>
          <w:sz w:val="22"/>
          <w:szCs w:val="22"/>
        </w:rPr>
        <w:t xml:space="preserve"> osiągnął rekordowy</w:t>
      </w:r>
      <w:r w:rsidR="00994D9F" w:rsidRPr="00AE406B">
        <w:rPr>
          <w:rFonts w:asciiTheme="minorHAnsi" w:hAnsiTheme="minorHAnsi" w:cs="Arial"/>
          <w:b/>
          <w:sz w:val="22"/>
          <w:szCs w:val="22"/>
        </w:rPr>
        <w:t xml:space="preserve"> wynik EBIT</w:t>
      </w:r>
      <w:r w:rsidR="00E0770E">
        <w:rPr>
          <w:rFonts w:asciiTheme="minorHAnsi" w:hAnsiTheme="minorHAnsi" w:cs="Arial"/>
          <w:b/>
          <w:sz w:val="22"/>
          <w:szCs w:val="22"/>
        </w:rPr>
        <w:t>D</w:t>
      </w:r>
      <w:r w:rsidR="00994D9F" w:rsidRPr="00AE406B">
        <w:rPr>
          <w:rFonts w:asciiTheme="minorHAnsi" w:hAnsiTheme="minorHAnsi" w:cs="Arial"/>
          <w:b/>
          <w:sz w:val="22"/>
          <w:szCs w:val="22"/>
        </w:rPr>
        <w:t>A na poziomie 4,28</w:t>
      </w:r>
      <w:r w:rsidR="005F1C78" w:rsidRPr="00AE406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E406B">
        <w:rPr>
          <w:rFonts w:asciiTheme="minorHAnsi" w:hAnsiTheme="minorHAnsi" w:cs="Arial"/>
          <w:b/>
          <w:sz w:val="22"/>
          <w:szCs w:val="22"/>
        </w:rPr>
        <w:t>mln zł</w:t>
      </w:r>
      <w:r w:rsidR="00994D9F" w:rsidRPr="00AE406B">
        <w:rPr>
          <w:rFonts w:asciiTheme="minorHAnsi" w:hAnsiTheme="minorHAnsi" w:cs="Arial"/>
          <w:b/>
          <w:sz w:val="22"/>
          <w:szCs w:val="22"/>
        </w:rPr>
        <w:t>, to wzrost o 65, 7 proc</w:t>
      </w:r>
      <w:r w:rsidR="006620FD" w:rsidRPr="00F56DF0">
        <w:rPr>
          <w:rFonts w:asciiTheme="minorHAnsi" w:hAnsiTheme="minorHAnsi" w:cs="Arial"/>
          <w:b/>
          <w:sz w:val="22"/>
          <w:szCs w:val="22"/>
        </w:rPr>
        <w:t>.</w:t>
      </w:r>
      <w:r w:rsidR="006620FD" w:rsidRPr="005F1C78">
        <w:rPr>
          <w:rFonts w:asciiTheme="minorHAnsi" w:hAnsiTheme="minorHAnsi" w:cs="Arial"/>
          <w:b/>
          <w:sz w:val="22"/>
          <w:szCs w:val="22"/>
        </w:rPr>
        <w:t xml:space="preserve"> </w:t>
      </w:r>
      <w:r w:rsidR="006620FD">
        <w:rPr>
          <w:rFonts w:asciiTheme="minorHAnsi" w:hAnsiTheme="minorHAnsi" w:cs="Arial"/>
          <w:b/>
          <w:sz w:val="22"/>
          <w:szCs w:val="22"/>
        </w:rPr>
        <w:t xml:space="preserve">Zysk netto za sześć pierwszych miesięcy wyniósł </w:t>
      </w:r>
      <w:r w:rsidR="00363FEB" w:rsidRPr="005F1C78">
        <w:rPr>
          <w:rFonts w:asciiTheme="minorHAnsi" w:hAnsiTheme="minorHAnsi" w:cs="Arial"/>
          <w:b/>
          <w:sz w:val="22"/>
          <w:szCs w:val="22"/>
        </w:rPr>
        <w:t>2,14 mln zł</w:t>
      </w:r>
      <w:r>
        <w:rPr>
          <w:rFonts w:asciiTheme="minorHAnsi" w:hAnsiTheme="minorHAnsi" w:cs="Arial"/>
          <w:b/>
          <w:sz w:val="22"/>
          <w:szCs w:val="22"/>
        </w:rPr>
        <w:t xml:space="preserve"> - wzrost</w:t>
      </w:r>
      <w:r w:rsidR="00AE406B">
        <w:rPr>
          <w:rFonts w:asciiTheme="minorHAnsi" w:hAnsiTheme="minorHAnsi" w:cs="Arial"/>
          <w:b/>
          <w:sz w:val="22"/>
          <w:szCs w:val="22"/>
        </w:rPr>
        <w:t xml:space="preserve"> o 311,2</w:t>
      </w:r>
      <w:r w:rsidR="006620FD" w:rsidRPr="005F1C78">
        <w:rPr>
          <w:rFonts w:asciiTheme="minorHAnsi" w:hAnsiTheme="minorHAnsi" w:cs="Arial"/>
          <w:b/>
          <w:sz w:val="22"/>
          <w:szCs w:val="22"/>
        </w:rPr>
        <w:t xml:space="preserve"> proc. w stosunku do wyników I półrocza roku 2016. </w:t>
      </w:r>
      <w:r w:rsidR="005F1C78" w:rsidRPr="005F1C78">
        <w:rPr>
          <w:rFonts w:asciiTheme="minorHAnsi" w:hAnsiTheme="minorHAnsi" w:cs="Arial"/>
          <w:b/>
          <w:sz w:val="22"/>
          <w:szCs w:val="22"/>
        </w:rPr>
        <w:t>W porównaniu do I kwartał</w:t>
      </w:r>
      <w:r w:rsidR="005F1C78">
        <w:rPr>
          <w:rFonts w:asciiTheme="minorHAnsi" w:hAnsiTheme="minorHAnsi" w:cs="Arial"/>
          <w:b/>
          <w:sz w:val="22"/>
          <w:szCs w:val="22"/>
        </w:rPr>
        <w:t>u 2017</w:t>
      </w:r>
      <w:r w:rsidR="005F1C78" w:rsidRPr="005F1C78">
        <w:rPr>
          <w:rFonts w:asciiTheme="minorHAnsi" w:hAnsiTheme="minorHAnsi" w:cs="Arial"/>
          <w:b/>
          <w:sz w:val="22"/>
          <w:szCs w:val="22"/>
        </w:rPr>
        <w:t xml:space="preserve"> roku, przychody wzrosł</w:t>
      </w:r>
      <w:r w:rsidR="005F1C78">
        <w:rPr>
          <w:rFonts w:asciiTheme="minorHAnsi" w:hAnsiTheme="minorHAnsi" w:cs="Arial"/>
          <w:b/>
          <w:sz w:val="22"/>
          <w:szCs w:val="22"/>
        </w:rPr>
        <w:t>y o</w:t>
      </w:r>
      <w:r w:rsidR="00AE406B">
        <w:rPr>
          <w:rFonts w:asciiTheme="minorHAnsi" w:hAnsiTheme="minorHAnsi" w:cs="Arial"/>
          <w:b/>
          <w:sz w:val="22"/>
          <w:szCs w:val="22"/>
        </w:rPr>
        <w:t xml:space="preserve"> 9,3</w:t>
      </w:r>
      <w:r w:rsidR="005F1C78" w:rsidRPr="005F1C78">
        <w:rPr>
          <w:rFonts w:asciiTheme="minorHAnsi" w:hAnsiTheme="minorHAnsi" w:cs="Arial"/>
          <w:b/>
          <w:sz w:val="22"/>
          <w:szCs w:val="22"/>
        </w:rPr>
        <w:t xml:space="preserve"> proc. Zysk netto </w:t>
      </w:r>
      <w:r w:rsidR="00970A3F">
        <w:rPr>
          <w:rFonts w:asciiTheme="minorHAnsi" w:hAnsiTheme="minorHAnsi" w:cs="Arial"/>
          <w:b/>
          <w:sz w:val="22"/>
          <w:szCs w:val="22"/>
        </w:rPr>
        <w:t>wyniósł</w:t>
      </w:r>
      <w:r w:rsidR="005F1C78" w:rsidRPr="005F1C78">
        <w:rPr>
          <w:rFonts w:asciiTheme="minorHAnsi" w:hAnsiTheme="minorHAnsi" w:cs="Arial"/>
          <w:b/>
          <w:sz w:val="22"/>
          <w:szCs w:val="22"/>
        </w:rPr>
        <w:t xml:space="preserve"> </w:t>
      </w:r>
      <w:r w:rsidR="005F1C78">
        <w:rPr>
          <w:rFonts w:asciiTheme="minorHAnsi" w:hAnsiTheme="minorHAnsi" w:cs="Arial"/>
          <w:b/>
          <w:sz w:val="22"/>
          <w:szCs w:val="22"/>
        </w:rPr>
        <w:t xml:space="preserve">1,3 </w:t>
      </w:r>
      <w:r w:rsidR="005F1C78" w:rsidRPr="005F1C78">
        <w:rPr>
          <w:rFonts w:asciiTheme="minorHAnsi" w:hAnsiTheme="minorHAnsi" w:cs="Arial"/>
          <w:b/>
          <w:sz w:val="22"/>
          <w:szCs w:val="22"/>
        </w:rPr>
        <w:t>mln zł</w:t>
      </w:r>
      <w:r w:rsidR="00970A3F">
        <w:rPr>
          <w:rFonts w:asciiTheme="minorHAnsi" w:hAnsiTheme="minorHAnsi" w:cs="Arial"/>
          <w:b/>
          <w:sz w:val="22"/>
          <w:szCs w:val="22"/>
        </w:rPr>
        <w:t xml:space="preserve">. </w:t>
      </w:r>
      <w:bookmarkStart w:id="0" w:name="_GoBack"/>
      <w:bookmarkEnd w:id="0"/>
      <w:r w:rsidR="006620FD">
        <w:rPr>
          <w:rFonts w:ascii="Calibri" w:hAnsi="Calibri" w:cs="Arial"/>
          <w:b/>
          <w:sz w:val="22"/>
          <w:szCs w:val="22"/>
        </w:rPr>
        <w:t>D</w:t>
      </w:r>
      <w:r w:rsidR="000E5226">
        <w:rPr>
          <w:rFonts w:ascii="Calibri" w:hAnsi="Calibri" w:cs="Arial"/>
          <w:b/>
          <w:sz w:val="22"/>
          <w:szCs w:val="22"/>
        </w:rPr>
        <w:t xml:space="preserve">o </w:t>
      </w:r>
      <w:r w:rsidR="00F977BC" w:rsidRPr="00F977BC">
        <w:rPr>
          <w:rFonts w:ascii="Calibri" w:hAnsi="Calibri" w:cs="Arial"/>
          <w:b/>
          <w:sz w:val="22"/>
          <w:szCs w:val="22"/>
        </w:rPr>
        <w:t xml:space="preserve">osiągniętego rezultatu przyczynił się przede wszystkim wyższy </w:t>
      </w:r>
      <w:r w:rsidR="00F977BC" w:rsidRPr="00363FEB">
        <w:rPr>
          <w:rFonts w:ascii="Calibri" w:hAnsi="Calibri" w:cs="Arial"/>
          <w:b/>
          <w:sz w:val="22"/>
          <w:szCs w:val="22"/>
        </w:rPr>
        <w:t>wolumen sprzedaży we wszystkich segmentach działalności oraz sprzyjające warunki makroekonomiczne</w:t>
      </w:r>
      <w:r w:rsidR="00F977BC" w:rsidRPr="00F977BC">
        <w:rPr>
          <w:rFonts w:ascii="Calibri" w:hAnsi="Calibri" w:cs="Arial"/>
          <w:b/>
          <w:sz w:val="22"/>
          <w:szCs w:val="22"/>
        </w:rPr>
        <w:t xml:space="preserve">. </w:t>
      </w:r>
    </w:p>
    <w:p w14:paraId="0B1C5CA2" w14:textId="3F94F87C" w:rsidR="00420D49" w:rsidRDefault="005F1C78" w:rsidP="0043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A4E08">
        <w:rPr>
          <w:rFonts w:asciiTheme="minorHAnsi" w:hAnsiTheme="minorHAnsi"/>
          <w:bCs/>
          <w:color w:val="000000"/>
          <w:sz w:val="22"/>
          <w:szCs w:val="22"/>
        </w:rPr>
        <w:t>W II kwartale 2017 roku</w:t>
      </w:r>
      <w:r w:rsidR="00FA3B0E">
        <w:rPr>
          <w:rFonts w:asciiTheme="minorHAnsi" w:hAnsiTheme="minorHAnsi"/>
          <w:bCs/>
          <w:color w:val="000000"/>
          <w:sz w:val="22"/>
          <w:szCs w:val="22"/>
        </w:rPr>
        <w:t>,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 LU</w:t>
      </w:r>
      <w:r w:rsidR="00FA3B0E">
        <w:rPr>
          <w:rFonts w:asciiTheme="minorHAnsi" w:hAnsiTheme="minorHAnsi"/>
          <w:bCs/>
          <w:color w:val="000000"/>
          <w:sz w:val="22"/>
          <w:szCs w:val="22"/>
        </w:rPr>
        <w:t xml:space="preserve">G S.A. wypracował zysk brutto ze </w:t>
      </w:r>
      <w:proofErr w:type="spellStart"/>
      <w:r w:rsidR="00FA3B0E">
        <w:rPr>
          <w:rFonts w:asciiTheme="minorHAnsi" w:hAnsiTheme="minorHAnsi"/>
          <w:bCs/>
          <w:color w:val="000000"/>
          <w:sz w:val="22"/>
          <w:szCs w:val="22"/>
        </w:rPr>
        <w:t>sprzedaży</w:t>
      </w:r>
      <w:proofErr w:type="spellEnd"/>
      <w:r w:rsidR="00FA3B0E">
        <w:rPr>
          <w:rFonts w:asciiTheme="minorHAnsi" w:hAnsiTheme="minorHAnsi"/>
          <w:bCs/>
          <w:color w:val="000000"/>
          <w:sz w:val="22"/>
          <w:szCs w:val="22"/>
        </w:rPr>
        <w:t xml:space="preserve"> w </w:t>
      </w:r>
      <w:proofErr w:type="spellStart"/>
      <w:r w:rsidR="00FA3B0E">
        <w:rPr>
          <w:rFonts w:asciiTheme="minorHAnsi" w:hAnsiTheme="minorHAnsi"/>
          <w:bCs/>
          <w:color w:val="000000"/>
          <w:sz w:val="22"/>
          <w:szCs w:val="22"/>
        </w:rPr>
        <w:t>wysokości</w:t>
      </w:r>
      <w:proofErr w:type="spellEnd"/>
      <w:r w:rsidR="00FA3B0E"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  <w:r w:rsidR="0087735F">
        <w:rPr>
          <w:rFonts w:asciiTheme="minorHAnsi" w:hAnsiTheme="minorHAnsi"/>
          <w:bCs/>
          <w:color w:val="000000"/>
          <w:sz w:val="22"/>
          <w:szCs w:val="22"/>
        </w:rPr>
        <w:t>12,86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 mln zł</w:t>
      </w:r>
      <w:r w:rsidR="00FA3B0E">
        <w:rPr>
          <w:rFonts w:asciiTheme="minorHAnsi" w:hAnsiTheme="minorHAnsi"/>
          <w:bCs/>
          <w:color w:val="000000"/>
          <w:sz w:val="22"/>
          <w:szCs w:val="22"/>
        </w:rPr>
        <w:t>.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1A4E08">
        <w:rPr>
          <w:rFonts w:asciiTheme="minorHAnsi" w:hAnsiTheme="minorHAnsi"/>
          <w:bCs/>
          <w:color w:val="000000"/>
          <w:sz w:val="22"/>
          <w:szCs w:val="22"/>
        </w:rPr>
        <w:br/>
      </w:r>
      <w:r w:rsidR="00FA3B0E">
        <w:rPr>
          <w:rFonts w:asciiTheme="minorHAnsi" w:hAnsiTheme="minorHAnsi"/>
          <w:bCs/>
          <w:color w:val="000000"/>
          <w:sz w:val="22"/>
          <w:szCs w:val="22"/>
        </w:rPr>
        <w:t xml:space="preserve">To wzrost o </w:t>
      </w:r>
      <w:r w:rsidR="0087735F">
        <w:rPr>
          <w:rFonts w:asciiTheme="minorHAnsi" w:hAnsiTheme="minorHAnsi"/>
          <w:bCs/>
          <w:color w:val="000000"/>
          <w:sz w:val="22"/>
          <w:szCs w:val="22"/>
        </w:rPr>
        <w:t>0,8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 proc.</w:t>
      </w:r>
      <w:r w:rsidRPr="001A4E0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w stosunku </w:t>
      </w:r>
      <w:r w:rsidR="0087735F">
        <w:rPr>
          <w:rFonts w:asciiTheme="minorHAnsi" w:hAnsiTheme="minorHAnsi"/>
          <w:bCs/>
          <w:color w:val="000000"/>
          <w:sz w:val="22"/>
          <w:szCs w:val="22"/>
        </w:rPr>
        <w:t>r/r oraz 7,8 proc. w porównaniu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87735F">
        <w:rPr>
          <w:rFonts w:asciiTheme="minorHAnsi" w:hAnsiTheme="minorHAnsi"/>
          <w:bCs/>
          <w:color w:val="000000"/>
          <w:sz w:val="22"/>
          <w:szCs w:val="22"/>
        </w:rPr>
        <w:t xml:space="preserve">do </w:t>
      </w:r>
      <w:r w:rsidRPr="001A4E08">
        <w:rPr>
          <w:rFonts w:asciiTheme="minorHAnsi" w:hAnsiTheme="minorHAnsi"/>
          <w:bCs/>
          <w:color w:val="000000"/>
          <w:sz w:val="22"/>
          <w:szCs w:val="22"/>
        </w:rPr>
        <w:t>I kwartału roku 2017</w:t>
      </w:r>
      <w:r w:rsidR="00FB5B48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994D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30C67">
        <w:rPr>
          <w:rFonts w:asciiTheme="minorHAnsi" w:hAnsiTheme="minorHAnsi" w:cs="Calibri"/>
          <w:color w:val="000000"/>
          <w:sz w:val="22"/>
          <w:szCs w:val="22"/>
        </w:rPr>
        <w:br/>
      </w:r>
      <w:r w:rsidR="00994D9F">
        <w:rPr>
          <w:rFonts w:asciiTheme="minorHAnsi" w:hAnsiTheme="minorHAnsi" w:cs="Calibri"/>
          <w:color w:val="000000"/>
          <w:sz w:val="22"/>
          <w:szCs w:val="22"/>
        </w:rPr>
        <w:t xml:space="preserve">W pierwszym półroczu wynik ze sprzedaży brutto wyniósł 24,78  mln zł i był wyższy o 21,1 proc. </w:t>
      </w:r>
      <w:r w:rsidR="00430C67">
        <w:rPr>
          <w:rFonts w:asciiTheme="minorHAnsi" w:hAnsiTheme="minorHAnsi" w:cs="Calibri"/>
          <w:color w:val="000000"/>
          <w:sz w:val="22"/>
          <w:szCs w:val="22"/>
        </w:rPr>
        <w:br/>
      </w:r>
      <w:r w:rsidR="00994D9F">
        <w:rPr>
          <w:rFonts w:asciiTheme="minorHAnsi" w:hAnsiTheme="minorHAnsi" w:cs="Calibri"/>
          <w:color w:val="000000"/>
          <w:sz w:val="22"/>
          <w:szCs w:val="22"/>
        </w:rPr>
        <w:t>w stosunku do analogicznego okresu ubiegłego roku.</w:t>
      </w:r>
      <w:r w:rsidR="003F0D9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0B422DF" w14:textId="1819A10C" w:rsidR="003F0D9E" w:rsidRPr="00867159" w:rsidRDefault="00060A6B" w:rsidP="0043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Również w lipcu spółka zanotowała dobre wyniki finansowe. C</w:t>
      </w:r>
      <w:r w:rsidR="003F0D9E">
        <w:rPr>
          <w:rFonts w:asciiTheme="minorHAnsi" w:hAnsiTheme="minorHAnsi" w:cs="Calibri"/>
          <w:color w:val="000000"/>
          <w:sz w:val="22"/>
          <w:szCs w:val="22"/>
        </w:rPr>
        <w:t xml:space="preserve">ałkowita dynamika przychodów </w:t>
      </w:r>
      <w:r w:rsidR="00430C67">
        <w:rPr>
          <w:rFonts w:asciiTheme="minorHAnsi" w:hAnsiTheme="minorHAnsi" w:cs="Calibri"/>
          <w:color w:val="000000"/>
          <w:sz w:val="22"/>
          <w:szCs w:val="22"/>
        </w:rPr>
        <w:br/>
      </w:r>
      <w:r w:rsidR="003F0D9E">
        <w:rPr>
          <w:rFonts w:asciiTheme="minorHAnsi" w:hAnsiTheme="minorHAnsi" w:cs="Calibri"/>
          <w:color w:val="000000"/>
          <w:sz w:val="22"/>
          <w:szCs w:val="22"/>
        </w:rPr>
        <w:t>ze sprzedaży osiągnęła poziom dwucyfrowy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poprawiając wyniki z analogicznego okresu ubiegłego roku. Wskazuje to na kontynuację dynamiki przychodów zarysowanej w pierwszych </w:t>
      </w:r>
      <w:r w:rsidR="00E0770E">
        <w:rPr>
          <w:rFonts w:asciiTheme="minorHAnsi" w:hAnsiTheme="minorHAnsi" w:cs="Calibri"/>
          <w:color w:val="000000"/>
          <w:sz w:val="22"/>
          <w:szCs w:val="22"/>
        </w:rPr>
        <w:t>pięciu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miesiącach roku.</w:t>
      </w:r>
    </w:p>
    <w:p w14:paraId="2DC50C4A" w14:textId="77777777" w:rsidR="00430C67" w:rsidRDefault="001A4E08" w:rsidP="0043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/>
          <w:b/>
          <w:bCs/>
          <w:color w:val="333333"/>
          <w:sz w:val="22"/>
          <w:szCs w:val="22"/>
        </w:rPr>
      </w:pPr>
      <w:r w:rsidRPr="001A4E08">
        <w:rPr>
          <w:rFonts w:ascii="Calibri" w:hAnsi="Calibri"/>
          <w:b/>
          <w:bCs/>
          <w:color w:val="333333"/>
          <w:sz w:val="22"/>
          <w:szCs w:val="22"/>
        </w:rPr>
        <w:t>Innowacyjne światło dla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  <w:r w:rsidR="00C50C4C">
        <w:rPr>
          <w:rFonts w:ascii="Calibri" w:hAnsi="Calibri"/>
          <w:b/>
          <w:bCs/>
          <w:color w:val="333333"/>
          <w:sz w:val="22"/>
          <w:szCs w:val="22"/>
        </w:rPr>
        <w:t>życia z pasją</w:t>
      </w:r>
    </w:p>
    <w:p w14:paraId="1B083CC9" w14:textId="720C4318" w:rsidR="00970A3F" w:rsidRDefault="00FA3B0E" w:rsidP="00430C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Na początku czerwca z</w:t>
      </w:r>
      <w:r w:rsidR="00525F44">
        <w:rPr>
          <w:rFonts w:ascii="Calibri" w:hAnsi="Calibri"/>
          <w:bCs/>
          <w:color w:val="333333"/>
          <w:sz w:val="22"/>
          <w:szCs w:val="22"/>
        </w:rPr>
        <w:t>arząd spółki ogłosił</w:t>
      </w:r>
      <w:r w:rsidR="001A4E08" w:rsidRPr="001A4E08">
        <w:rPr>
          <w:rFonts w:ascii="Calibri" w:hAnsi="Calibri"/>
          <w:bCs/>
          <w:color w:val="333333"/>
          <w:sz w:val="22"/>
          <w:szCs w:val="22"/>
        </w:rPr>
        <w:t xml:space="preserve"> strategiczne kierunki rozwoju na lata 2017-2021.</w:t>
      </w:r>
      <w:r w:rsidR="001A4E08" w:rsidRPr="001A4E08">
        <w:rPr>
          <w:rFonts w:ascii="Calibri" w:hAnsi="Calibri" w:cs="Helvetica"/>
          <w:sz w:val="22"/>
          <w:szCs w:val="22"/>
        </w:rPr>
        <w:t xml:space="preserve"> </w:t>
      </w:r>
      <w:r w:rsidR="001A4E08" w:rsidRPr="001A4E08">
        <w:rPr>
          <w:rFonts w:ascii="Calibri" w:hAnsi="Calibri"/>
          <w:bCs/>
          <w:color w:val="333333"/>
          <w:sz w:val="22"/>
          <w:szCs w:val="22"/>
        </w:rPr>
        <w:t>Wpisując się w globalne trendy branży oświetleniowej, tworzy innowacyjne świa</w:t>
      </w:r>
      <w:r w:rsidR="00FB5B48">
        <w:rPr>
          <w:rFonts w:ascii="Calibri" w:hAnsi="Calibri"/>
          <w:bCs/>
          <w:color w:val="333333"/>
          <w:sz w:val="22"/>
          <w:szCs w:val="22"/>
        </w:rPr>
        <w:t xml:space="preserve">tło wpływające na podniesienie </w:t>
      </w:r>
      <w:r w:rsidR="001A4E08" w:rsidRPr="001A4E08">
        <w:rPr>
          <w:rFonts w:ascii="Calibri" w:hAnsi="Calibri"/>
          <w:bCs/>
          <w:color w:val="333333"/>
          <w:sz w:val="22"/>
          <w:szCs w:val="22"/>
        </w:rPr>
        <w:t xml:space="preserve">komfortu życia, w centrum swoich działań stawiając człowieka, jego potrzeby i oczekiwania. </w:t>
      </w:r>
      <w:r w:rsidR="00FB5B48">
        <w:rPr>
          <w:rFonts w:ascii="Calibri" w:hAnsi="Calibri"/>
          <w:bCs/>
          <w:color w:val="333333"/>
          <w:sz w:val="22"/>
          <w:szCs w:val="22"/>
        </w:rPr>
        <w:t xml:space="preserve">Grupa </w:t>
      </w:r>
      <w:r w:rsidR="001A4E08" w:rsidRPr="001A4E08">
        <w:rPr>
          <w:rFonts w:ascii="Calibri" w:hAnsi="Calibri"/>
          <w:bCs/>
          <w:color w:val="333333"/>
          <w:sz w:val="22"/>
          <w:szCs w:val="22"/>
        </w:rPr>
        <w:t xml:space="preserve">koncentruje się na rozwoju usługi zarządzania światłem </w:t>
      </w:r>
      <w:proofErr w:type="spellStart"/>
      <w:r w:rsidR="001A4E08" w:rsidRPr="001A4E08">
        <w:rPr>
          <w:rFonts w:ascii="Calibri" w:hAnsi="Calibri"/>
          <w:bCs/>
          <w:color w:val="333333"/>
          <w:sz w:val="22"/>
          <w:szCs w:val="22"/>
        </w:rPr>
        <w:t>Light</w:t>
      </w:r>
      <w:proofErr w:type="spellEnd"/>
      <w:r w:rsidR="001A4E08" w:rsidRPr="001A4E08">
        <w:rPr>
          <w:rFonts w:ascii="Calibri" w:hAnsi="Calibri"/>
          <w:bCs/>
          <w:color w:val="333333"/>
          <w:sz w:val="22"/>
          <w:szCs w:val="22"/>
        </w:rPr>
        <w:t xml:space="preserve"> as a Service</w:t>
      </w:r>
      <w:r w:rsidR="00FB5B48">
        <w:rPr>
          <w:rFonts w:ascii="Calibri" w:hAnsi="Calibri"/>
          <w:bCs/>
          <w:color w:val="333333"/>
          <w:sz w:val="22"/>
          <w:szCs w:val="22"/>
        </w:rPr>
        <w:t xml:space="preserve"> </w:t>
      </w:r>
      <w:r w:rsidR="00FB5B48" w:rsidRPr="001A4E08">
        <w:rPr>
          <w:rFonts w:ascii="Calibri" w:hAnsi="Calibri"/>
          <w:bCs/>
          <w:color w:val="333333"/>
          <w:sz w:val="22"/>
          <w:szCs w:val="22"/>
        </w:rPr>
        <w:t>(</w:t>
      </w:r>
      <w:proofErr w:type="spellStart"/>
      <w:r w:rsidR="00FB5B48" w:rsidRPr="001A4E08">
        <w:rPr>
          <w:rFonts w:ascii="Calibri" w:hAnsi="Calibri"/>
          <w:bCs/>
          <w:color w:val="333333"/>
          <w:sz w:val="22"/>
          <w:szCs w:val="22"/>
        </w:rPr>
        <w:t>LaaS</w:t>
      </w:r>
      <w:proofErr w:type="spellEnd"/>
      <w:r w:rsidR="00FB5B48" w:rsidRPr="001A4E08">
        <w:rPr>
          <w:rFonts w:ascii="Calibri" w:hAnsi="Calibri"/>
          <w:bCs/>
          <w:color w:val="333333"/>
          <w:sz w:val="22"/>
          <w:szCs w:val="22"/>
        </w:rPr>
        <w:t xml:space="preserve">) </w:t>
      </w:r>
      <w:r w:rsidR="001A4E08" w:rsidRPr="001A4E08">
        <w:rPr>
          <w:rFonts w:ascii="Calibri" w:hAnsi="Calibri"/>
          <w:bCs/>
          <w:color w:val="333333"/>
          <w:sz w:val="22"/>
          <w:szCs w:val="22"/>
        </w:rPr>
        <w:t xml:space="preserve">i na podnoszeniu efektywności energetycznej </w:t>
      </w:r>
      <w:r w:rsidR="001A4E08" w:rsidRPr="001A4E08">
        <w:rPr>
          <w:rFonts w:ascii="Calibri" w:hAnsi="Calibri"/>
          <w:bCs/>
          <w:sz w:val="22"/>
          <w:szCs w:val="22"/>
        </w:rPr>
        <w:t>swoich rozwiązań.</w:t>
      </w:r>
      <w:r w:rsidR="001A4E08" w:rsidRPr="001A4E08">
        <w:rPr>
          <w:rFonts w:ascii="Calibri" w:hAnsi="Calibri" w:cs="Arial"/>
          <w:sz w:val="22"/>
          <w:szCs w:val="22"/>
        </w:rPr>
        <w:t xml:space="preserve"> </w:t>
      </w:r>
    </w:p>
    <w:p w14:paraId="2A43FBB6" w14:textId="77777777" w:rsidR="00430C67" w:rsidRPr="00420D49" w:rsidRDefault="00430C67" w:rsidP="00525F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/>
          <w:bCs/>
          <w:color w:val="333333"/>
          <w:sz w:val="22"/>
          <w:szCs w:val="22"/>
        </w:rPr>
      </w:pPr>
    </w:p>
    <w:p w14:paraId="2745CD44" w14:textId="5B76F085" w:rsidR="002B0004" w:rsidRDefault="002B0004" w:rsidP="00430C67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- </w:t>
      </w:r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Strategiczne kierunki rozwoju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sa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>̨ spójne z</w:t>
      </w:r>
      <w:r w:rsidR="00C50C4C">
        <w:rPr>
          <w:rFonts w:ascii="Calibri" w:eastAsia="Calibri" w:hAnsi="Calibri"/>
          <w:i/>
          <w:sz w:val="22"/>
          <w:szCs w:val="22"/>
          <w:lang w:eastAsia="en-US"/>
        </w:rPr>
        <w:t xml:space="preserve"> naszą</w:t>
      </w:r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 dotychczasową wizją rozwoju i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pomoga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̨ nam </w:t>
      </w:r>
      <w:r w:rsidRPr="002B0004">
        <w:rPr>
          <w:rFonts w:ascii="Calibri" w:eastAsia="Calibri" w:hAnsi="Calibri"/>
          <w:i/>
          <w:sz w:val="22"/>
          <w:szCs w:val="22"/>
          <w:lang w:eastAsia="en-US"/>
        </w:rPr>
        <w:lastRenderedPageBreak/>
        <w:t xml:space="preserve">stopniowo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przekształcic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́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sie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̨ w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spółke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 xml:space="preserve">̨ </w:t>
      </w:r>
      <w:proofErr w:type="spellStart"/>
      <w:r w:rsidRPr="002B0004">
        <w:rPr>
          <w:rFonts w:ascii="Calibri" w:eastAsia="Calibri" w:hAnsi="Calibri"/>
          <w:i/>
          <w:sz w:val="22"/>
          <w:szCs w:val="22"/>
          <w:lang w:eastAsia="en-US"/>
        </w:rPr>
        <w:t>świadcząca</w:t>
      </w:r>
      <w:proofErr w:type="spellEnd"/>
      <w:r w:rsidRPr="002B0004">
        <w:rPr>
          <w:rFonts w:ascii="Calibri" w:eastAsia="Calibri" w:hAnsi="Calibri"/>
          <w:i/>
          <w:sz w:val="22"/>
          <w:szCs w:val="22"/>
          <w:lang w:eastAsia="en-US"/>
        </w:rPr>
        <w:t>̨ zaawansowane rozwiązania dostarczania światła jako usługi</w:t>
      </w:r>
      <w:r w:rsidRPr="002B0004">
        <w:rPr>
          <w:rFonts w:ascii="Calibri" w:eastAsia="Calibri" w:hAnsi="Calibri"/>
          <w:sz w:val="22"/>
          <w:szCs w:val="22"/>
          <w:lang w:eastAsia="en-US"/>
        </w:rPr>
        <w:t xml:space="preserve"> -</w:t>
      </w:r>
      <w:r w:rsidRPr="00867159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mówi Ryszard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Wtorkowski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Prezes Zarządu LUG S.A.</w:t>
      </w:r>
    </w:p>
    <w:p w14:paraId="59B7A44D" w14:textId="77777777" w:rsidR="00430C67" w:rsidRDefault="00430C67" w:rsidP="00D04ABE">
      <w:pPr>
        <w:rPr>
          <w:rFonts w:ascii="Calibri" w:hAnsi="Calibri" w:cs="Arial"/>
          <w:b/>
          <w:sz w:val="22"/>
          <w:szCs w:val="22"/>
        </w:rPr>
      </w:pPr>
    </w:p>
    <w:p w14:paraId="5ACA288A" w14:textId="2D460B9A" w:rsidR="00D06072" w:rsidRPr="006D7F96" w:rsidRDefault="00D06072" w:rsidP="00D04AB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</w:rPr>
        <w:t xml:space="preserve">Grupa LUG wzmacnia swoją pozycję </w:t>
      </w:r>
      <w:r w:rsidR="002B0004">
        <w:rPr>
          <w:rFonts w:ascii="Calibri" w:hAnsi="Calibri" w:cs="Arial"/>
          <w:b/>
          <w:sz w:val="22"/>
          <w:szCs w:val="22"/>
        </w:rPr>
        <w:t>na światowych rynkach</w:t>
      </w:r>
      <w:r>
        <w:rPr>
          <w:rFonts w:ascii="Calibri" w:hAnsi="Calibri" w:cs="Arial"/>
          <w:b/>
          <w:sz w:val="22"/>
          <w:szCs w:val="22"/>
        </w:rPr>
        <w:br/>
      </w:r>
    </w:p>
    <w:p w14:paraId="528DCED3" w14:textId="3C7EA91B" w:rsidR="00D06072" w:rsidRPr="00C04E6F" w:rsidRDefault="00E9773A" w:rsidP="00C04E6F">
      <w:pPr>
        <w:jc w:val="both"/>
      </w:pPr>
      <w:r w:rsidRPr="006D7F96">
        <w:rPr>
          <w:rFonts w:ascii="Calibri" w:eastAsia="Calibri" w:hAnsi="Calibri"/>
          <w:sz w:val="22"/>
          <w:szCs w:val="22"/>
          <w:lang w:eastAsia="en-US"/>
        </w:rPr>
        <w:t xml:space="preserve">LUG S.A. i Provider Argentina S.A. powołały spółkę joint venture pod nazwą LUG Argentina S.A., </w:t>
      </w:r>
      <w:r w:rsidR="00D06072">
        <w:rPr>
          <w:rFonts w:ascii="Calibri" w:eastAsia="Calibri" w:hAnsi="Calibri"/>
          <w:sz w:val="22"/>
          <w:szCs w:val="22"/>
          <w:lang w:eastAsia="en-US"/>
        </w:rPr>
        <w:t xml:space="preserve">która już w </w:t>
      </w:r>
      <w:r w:rsidR="00901AA3">
        <w:rPr>
          <w:rFonts w:ascii="Calibri" w:eastAsia="Calibri" w:hAnsi="Calibri"/>
          <w:sz w:val="22"/>
          <w:szCs w:val="22"/>
          <w:lang w:eastAsia="en-US"/>
        </w:rPr>
        <w:t xml:space="preserve">końcu </w:t>
      </w:r>
      <w:r w:rsidR="00D06072">
        <w:rPr>
          <w:rFonts w:ascii="Calibri" w:eastAsia="Calibri" w:hAnsi="Calibri"/>
          <w:sz w:val="22"/>
          <w:szCs w:val="22"/>
          <w:lang w:eastAsia="en-US"/>
        </w:rPr>
        <w:t xml:space="preserve">roku </w:t>
      </w:r>
      <w:r w:rsidRPr="006D7F96">
        <w:rPr>
          <w:rFonts w:ascii="Calibri" w:eastAsia="Calibri" w:hAnsi="Calibri"/>
          <w:sz w:val="22"/>
          <w:szCs w:val="22"/>
          <w:lang w:eastAsia="en-US"/>
        </w:rPr>
        <w:t>poprowadzi zakład produkcyjno-montażowy oraz zajmie się dystrybucją rozwiązań oświetleniowych LUG w Argentynie. Spółka skoncentruje się na rozwoju energooszczędnych rozwiązań ledowych</w:t>
      </w:r>
      <w:r w:rsidRPr="00D04ABE">
        <w:rPr>
          <w:rFonts w:ascii="Calibri" w:eastAsia="Calibri" w:hAnsi="Calibri"/>
          <w:sz w:val="22"/>
          <w:szCs w:val="22"/>
          <w:lang w:eastAsia="en-US"/>
        </w:rPr>
        <w:t>.</w:t>
      </w:r>
      <w:r w:rsidR="00FB5B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4ABE">
        <w:rPr>
          <w:rFonts w:ascii="Calibri" w:eastAsia="Calibri" w:hAnsi="Calibri"/>
          <w:sz w:val="22"/>
          <w:szCs w:val="22"/>
          <w:lang w:eastAsia="en-US"/>
        </w:rPr>
        <w:t>O</w:t>
      </w:r>
      <w:r w:rsidR="00D04ABE" w:rsidRPr="00D04ABE">
        <w:rPr>
          <w:rFonts w:ascii="Calibri" w:eastAsia="Calibri" w:hAnsi="Calibri"/>
          <w:sz w:val="22"/>
          <w:szCs w:val="22"/>
          <w:lang w:eastAsia="en-US"/>
        </w:rPr>
        <w:t>świetlenie oparte o rozwiązania LED stanie się najbardziej energooszczę</w:t>
      </w:r>
      <w:r w:rsidR="00FB5B48">
        <w:rPr>
          <w:rFonts w:ascii="Calibri" w:eastAsia="Calibri" w:hAnsi="Calibri"/>
          <w:sz w:val="22"/>
          <w:szCs w:val="22"/>
          <w:lang w:eastAsia="en-US"/>
        </w:rPr>
        <w:t xml:space="preserve">dną </w:t>
      </w:r>
      <w:r w:rsidR="00FB5B48">
        <w:rPr>
          <w:rFonts w:ascii="Calibri" w:eastAsia="Calibri" w:hAnsi="Calibri"/>
          <w:sz w:val="22"/>
          <w:szCs w:val="22"/>
          <w:lang w:eastAsia="en-US"/>
        </w:rPr>
        <w:br/>
        <w:t xml:space="preserve">i </w:t>
      </w:r>
      <w:r w:rsidR="00D04ABE">
        <w:rPr>
          <w:rFonts w:ascii="Calibri" w:eastAsia="Calibri" w:hAnsi="Calibri"/>
          <w:sz w:val="22"/>
          <w:szCs w:val="22"/>
          <w:lang w:eastAsia="en-US"/>
        </w:rPr>
        <w:t xml:space="preserve">wszechstronną technologią. </w:t>
      </w:r>
      <w:r w:rsidR="00D04ABE" w:rsidRPr="00D04ABE">
        <w:rPr>
          <w:rFonts w:ascii="Calibri" w:eastAsia="Calibri" w:hAnsi="Calibri"/>
          <w:sz w:val="22"/>
          <w:szCs w:val="22"/>
          <w:lang w:eastAsia="en-US"/>
        </w:rPr>
        <w:t>Wartość globalnego rynku diod LED o wysokiej</w:t>
      </w:r>
      <w:r w:rsidR="00D04ABE">
        <w:rPr>
          <w:rFonts w:ascii="Calibri" w:eastAsia="Calibri" w:hAnsi="Calibri"/>
          <w:sz w:val="22"/>
          <w:szCs w:val="22"/>
          <w:lang w:eastAsia="en-US"/>
        </w:rPr>
        <w:t xml:space="preserve"> jasności wzrosła w 2015 r. o 2 proc.</w:t>
      </w:r>
      <w:r w:rsidR="00FB5B48">
        <w:rPr>
          <w:rFonts w:ascii="Calibri" w:eastAsia="Calibri" w:hAnsi="Calibri"/>
          <w:sz w:val="22"/>
          <w:szCs w:val="22"/>
          <w:lang w:eastAsia="en-US"/>
        </w:rPr>
        <w:t>,</w:t>
      </w:r>
      <w:r w:rsidR="00D04ABE" w:rsidRPr="00D04ABE">
        <w:rPr>
          <w:rFonts w:ascii="Calibri" w:eastAsia="Calibri" w:hAnsi="Calibri"/>
          <w:sz w:val="22"/>
          <w:szCs w:val="22"/>
          <w:lang w:eastAsia="en-US"/>
        </w:rPr>
        <w:t xml:space="preserve"> do 14,52 mld USD. Eksperci LEDinside przewidują, że w najbliższych pięciu latach skumulowany roczny wskaźnik wzrostu (CAGR) w branży LED nie przekroczy 10%</w:t>
      </w:r>
      <w:r w:rsidR="00C04E6F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D04ABE" w:rsidRPr="00D04ABE">
        <w:rPr>
          <w:rFonts w:ascii="Calibri" w:eastAsia="Calibri" w:hAnsi="Calibri"/>
          <w:sz w:val="22"/>
          <w:szCs w:val="22"/>
          <w:lang w:eastAsia="en-US"/>
        </w:rPr>
        <w:t>.</w:t>
      </w:r>
      <w:r w:rsidR="001F14D5" w:rsidRPr="00C04E6F">
        <w:rPr>
          <w:rFonts w:ascii="Calibri" w:eastAsia="Calibri" w:hAnsi="Calibri"/>
          <w:sz w:val="22"/>
          <w:szCs w:val="22"/>
          <w:lang w:eastAsia="en-US"/>
        </w:rPr>
        <w:t xml:space="preserve"> Największym rynkiem oświetlenia LED jest Europa. Udział europejskiej branży oświetleniowej w światowym rynku LED wynosi 23%</w:t>
      </w:r>
      <w:r w:rsidR="00C04E6F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="00C04E6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04E6F" w:rsidRPr="00C04E6F">
        <w:rPr>
          <w:rFonts w:ascii="Calibri" w:eastAsia="Calibri" w:hAnsi="Calibri"/>
          <w:sz w:val="22"/>
          <w:szCs w:val="22"/>
          <w:lang w:eastAsia="en-US"/>
        </w:rPr>
        <w:t xml:space="preserve">Istotnym segmentem rynku oświetlenia jest rynek inteligentnego oświetlenia ulicznego. </w:t>
      </w:r>
      <w:r w:rsidR="00C04E6F">
        <w:rPr>
          <w:rFonts w:ascii="Calibri" w:eastAsia="Calibri" w:hAnsi="Calibri"/>
          <w:sz w:val="22"/>
          <w:szCs w:val="22"/>
          <w:lang w:eastAsia="en-US"/>
        </w:rPr>
        <w:t xml:space="preserve">Analitycy </w:t>
      </w:r>
      <w:r w:rsidR="00D04ABE">
        <w:rPr>
          <w:rFonts w:ascii="Calibri" w:eastAsia="Calibri" w:hAnsi="Calibri"/>
          <w:sz w:val="22"/>
          <w:szCs w:val="22"/>
          <w:lang w:eastAsia="en-US"/>
        </w:rPr>
        <w:t>prognozują</w:t>
      </w:r>
      <w:r w:rsidR="00D06072" w:rsidRPr="00D04ABE">
        <w:rPr>
          <w:rFonts w:ascii="Calibri" w:eastAsia="Calibri" w:hAnsi="Calibri"/>
          <w:sz w:val="22"/>
          <w:szCs w:val="22"/>
          <w:lang w:eastAsia="en-US"/>
        </w:rPr>
        <w:t>, że dla rynku inteligentnego oświetlenia ulicznego LED wartość skumulowanego rocznego wskaźnika wzrostu (CAGR) w okresie 2016-2020 wyniesie 40,3%</w:t>
      </w:r>
      <w:r w:rsidR="00C04E6F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3"/>
      </w:r>
      <w:r w:rsidR="00C04E6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A972E64" w14:textId="77777777" w:rsidR="00D04ABE" w:rsidRDefault="00D04ABE" w:rsidP="006D7F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35BA60" w14:textId="2EE334E0" w:rsidR="006D7F96" w:rsidRPr="00420D49" w:rsidRDefault="00D363D5" w:rsidP="00420D49">
      <w:pPr>
        <w:jc w:val="both"/>
        <w:rPr>
          <w:rFonts w:asciiTheme="minorHAnsi" w:eastAsia="Calibri" w:hAnsiTheme="minorHAnsi"/>
          <w:sz w:val="22"/>
          <w:szCs w:val="22"/>
        </w:rPr>
      </w:pPr>
      <w:r w:rsidRPr="00420D49">
        <w:rPr>
          <w:rFonts w:asciiTheme="minorHAnsi" w:eastAsia="Calibri" w:hAnsiTheme="minorHAnsi"/>
          <w:i/>
          <w:sz w:val="22"/>
          <w:szCs w:val="22"/>
        </w:rPr>
        <w:t xml:space="preserve">- </w:t>
      </w:r>
      <w:r w:rsidR="006D7F96" w:rsidRPr="00420D49">
        <w:rPr>
          <w:rFonts w:ascii="Calibri" w:hAnsi="Calibri" w:cs="Helvetica"/>
          <w:i/>
          <w:color w:val="212122"/>
          <w:sz w:val="22"/>
          <w:szCs w:val="22"/>
        </w:rPr>
        <w:t>W Argentynie będą produkowane wyłącznie oprawy oświetleniowe w technologii LED, ze szczególnym naciskiem na oprawy dedykowane przestrzeniom miejskim, czyli ulicom, parkingom, parkom i budynkom publicznym</w:t>
      </w:r>
      <w:r w:rsidR="00344575" w:rsidRPr="00420D49">
        <w:rPr>
          <w:rFonts w:asciiTheme="minorHAnsi" w:eastAsia="Calibri" w:hAnsiTheme="minorHAnsi"/>
          <w:sz w:val="22"/>
          <w:szCs w:val="22"/>
        </w:rPr>
        <w:t xml:space="preserve"> – </w:t>
      </w:r>
      <w:r w:rsidR="00D06072" w:rsidRPr="00420D49">
        <w:rPr>
          <w:rFonts w:asciiTheme="minorHAnsi" w:eastAsia="Calibri" w:hAnsiTheme="minorHAnsi"/>
          <w:sz w:val="22"/>
          <w:szCs w:val="22"/>
        </w:rPr>
        <w:t>komentuje Rysza</w:t>
      </w:r>
      <w:r w:rsidR="002B0004" w:rsidRPr="00420D49">
        <w:rPr>
          <w:rFonts w:asciiTheme="minorHAnsi" w:eastAsia="Calibri" w:hAnsiTheme="minorHAnsi"/>
          <w:sz w:val="22"/>
          <w:szCs w:val="22"/>
        </w:rPr>
        <w:t xml:space="preserve">rd Wtorkowski Prezes Zarządu LUG </w:t>
      </w:r>
      <w:r w:rsidR="00D06072" w:rsidRPr="00420D49">
        <w:rPr>
          <w:rFonts w:asciiTheme="minorHAnsi" w:eastAsia="Calibri" w:hAnsiTheme="minorHAnsi"/>
          <w:sz w:val="22"/>
          <w:szCs w:val="22"/>
        </w:rPr>
        <w:t>S.A.</w:t>
      </w:r>
      <w:r w:rsidR="00E14827" w:rsidRPr="00420D49">
        <w:rPr>
          <w:rFonts w:asciiTheme="minorHAnsi" w:eastAsia="Calibri" w:hAnsiTheme="minorHAnsi"/>
          <w:sz w:val="22"/>
          <w:szCs w:val="22"/>
        </w:rPr>
        <w:t xml:space="preserve"> </w:t>
      </w:r>
      <w:r w:rsidRPr="00420D49">
        <w:rPr>
          <w:rFonts w:asciiTheme="minorHAnsi" w:eastAsia="Calibri" w:hAnsiTheme="minorHAnsi"/>
          <w:i/>
          <w:sz w:val="22"/>
          <w:szCs w:val="22"/>
        </w:rPr>
        <w:t xml:space="preserve">Widzimy wzrost </w:t>
      </w:r>
      <w:r w:rsidR="00891788" w:rsidRPr="00420D49">
        <w:rPr>
          <w:rFonts w:asciiTheme="minorHAnsi" w:eastAsia="Calibri" w:hAnsiTheme="minorHAnsi"/>
          <w:i/>
          <w:sz w:val="22"/>
          <w:szCs w:val="22"/>
        </w:rPr>
        <w:t>zainteresowania produktami o wysokiej oszczędności energetyczn</w:t>
      </w:r>
      <w:r w:rsidRPr="00420D49">
        <w:rPr>
          <w:rFonts w:asciiTheme="minorHAnsi" w:eastAsia="Calibri" w:hAnsiTheme="minorHAnsi"/>
          <w:i/>
          <w:sz w:val="22"/>
          <w:szCs w:val="22"/>
        </w:rPr>
        <w:t xml:space="preserve">ej i takie rozwiązania rozwijamy </w:t>
      </w:r>
      <w:r w:rsidR="00891788" w:rsidRPr="00420D49">
        <w:rPr>
          <w:rFonts w:asciiTheme="minorHAnsi" w:eastAsia="Calibri" w:hAnsiTheme="minorHAnsi"/>
          <w:sz w:val="22"/>
          <w:szCs w:val="22"/>
        </w:rPr>
        <w:t>- dodaje prezes</w:t>
      </w:r>
      <w:r w:rsidR="00430C67">
        <w:rPr>
          <w:rFonts w:asciiTheme="minorHAnsi" w:eastAsia="Calibri" w:hAnsiTheme="minorHAnsi"/>
          <w:sz w:val="22"/>
          <w:szCs w:val="22"/>
        </w:rPr>
        <w:t>.</w:t>
      </w:r>
    </w:p>
    <w:p w14:paraId="38A43AA8" w14:textId="77777777" w:rsidR="00D363D5" w:rsidRPr="00D363D5" w:rsidRDefault="00D363D5" w:rsidP="00D363D5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1EFFB539" w14:textId="167A9391" w:rsidR="00D363D5" w:rsidRDefault="00D363D5" w:rsidP="00D363D5">
      <w:pPr>
        <w:jc w:val="both"/>
        <w:rPr>
          <w:rFonts w:ascii="Calibri" w:hAnsi="Calibri"/>
          <w:color w:val="1E2832"/>
          <w:sz w:val="22"/>
          <w:szCs w:val="22"/>
          <w:shd w:val="clear" w:color="auto" w:fill="FFFFFF"/>
        </w:rPr>
      </w:pPr>
      <w:r w:rsidRPr="00D363D5">
        <w:rPr>
          <w:rFonts w:asciiTheme="minorHAnsi" w:eastAsia="Calibri" w:hAnsiTheme="minorHAnsi"/>
          <w:sz w:val="22"/>
          <w:szCs w:val="22"/>
        </w:rPr>
        <w:t>Równolegle trwa rozbudowa C</w:t>
      </w:r>
      <w:r w:rsidRPr="00D363D5">
        <w:rPr>
          <w:rFonts w:asciiTheme="minorHAnsi" w:hAnsiTheme="minorHAnsi" w:cs="Helvetica"/>
          <w:color w:val="212122"/>
          <w:sz w:val="22"/>
          <w:szCs w:val="22"/>
        </w:rPr>
        <w:t>entrum Badawczo-Produkcyjnego</w:t>
      </w:r>
      <w:r w:rsidRPr="00D363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 xml:space="preserve"> LUG S.A. w Nowym Kis</w:t>
      </w:r>
      <w:r w:rsidR="001F14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>ielinie. Obecnie prowadzone są tam</w:t>
      </w:r>
      <w:r w:rsidRPr="00D363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 xml:space="preserve"> intensywne prace wykończeniowe nowej hali produkcyjnej. W obiekcie znajdzie się miejsce dla nowoczesnych maszyn i labo</w:t>
      </w:r>
      <w:r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 xml:space="preserve">ratorium prototypowo-testowego. </w:t>
      </w:r>
      <w:r w:rsidRPr="00D363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>Zgodnie z planem</w:t>
      </w:r>
      <w:r w:rsidR="001F14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>,</w:t>
      </w:r>
      <w:r w:rsidRPr="00D363D5">
        <w:rPr>
          <w:rFonts w:asciiTheme="minorHAnsi" w:hAnsiTheme="minorHAnsi"/>
          <w:color w:val="1E2832"/>
          <w:sz w:val="22"/>
          <w:szCs w:val="22"/>
          <w:shd w:val="clear" w:color="auto" w:fill="FFFFFF"/>
        </w:rPr>
        <w:t xml:space="preserve"> inwestycja zostanie</w:t>
      </w:r>
      <w:r w:rsidRPr="00D363D5">
        <w:rPr>
          <w:rFonts w:ascii="Calibri" w:hAnsi="Calibri"/>
          <w:color w:val="1E2832"/>
          <w:sz w:val="22"/>
          <w:szCs w:val="22"/>
          <w:shd w:val="clear" w:color="auto" w:fill="FFFFFF"/>
        </w:rPr>
        <w:t xml:space="preserve"> zakończona we wrześniu br.</w:t>
      </w:r>
      <w:r>
        <w:rPr>
          <w:rFonts w:ascii="Calibri" w:hAnsi="Calibri"/>
          <w:color w:val="1E2832"/>
          <w:sz w:val="22"/>
          <w:szCs w:val="22"/>
          <w:shd w:val="clear" w:color="auto" w:fill="FFFFFF"/>
        </w:rPr>
        <w:t xml:space="preserve"> </w:t>
      </w:r>
    </w:p>
    <w:p w14:paraId="31675D2C" w14:textId="0EEB8EF9" w:rsidR="00D363D5" w:rsidRPr="00723E56" w:rsidRDefault="00D363D5" w:rsidP="00D363D5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i/>
          <w:iCs/>
          <w:color w:val="212122"/>
          <w:sz w:val="22"/>
          <w:szCs w:val="22"/>
        </w:rPr>
      </w:pPr>
      <w:r>
        <w:rPr>
          <w:rFonts w:ascii="Calibri" w:hAnsi="Calibri" w:cs="Helvetica"/>
          <w:color w:val="212122"/>
          <w:sz w:val="22"/>
          <w:szCs w:val="22"/>
        </w:rPr>
        <w:br/>
      </w:r>
      <w:r w:rsidRPr="00723E56">
        <w:rPr>
          <w:rFonts w:ascii="Calibri" w:hAnsi="Calibri" w:cs="Helvetica"/>
          <w:color w:val="212122"/>
          <w:sz w:val="22"/>
          <w:szCs w:val="22"/>
        </w:rPr>
        <w:t xml:space="preserve">- </w:t>
      </w:r>
      <w:r w:rsidRPr="00723E56">
        <w:rPr>
          <w:rFonts w:ascii="Calibri" w:hAnsi="Calibri" w:cs="Helvetica"/>
          <w:i/>
          <w:color w:val="212122"/>
          <w:sz w:val="22"/>
          <w:szCs w:val="22"/>
        </w:rPr>
        <w:t xml:space="preserve">Rynek usług oświetleniowych dynamicznie się zmienia. Staramy się </w:t>
      </w:r>
      <w:r>
        <w:rPr>
          <w:rFonts w:ascii="Calibri" w:hAnsi="Calibri" w:cs="Helvetica"/>
          <w:i/>
          <w:iCs/>
          <w:color w:val="212122"/>
          <w:sz w:val="22"/>
          <w:szCs w:val="22"/>
        </w:rPr>
        <w:t>podążać za jego potrzebami</w:t>
      </w:r>
      <w:r w:rsidRPr="00723E56">
        <w:rPr>
          <w:rFonts w:ascii="Calibri" w:hAnsi="Calibri" w:cs="Helvetica"/>
          <w:i/>
          <w:iCs/>
          <w:color w:val="212122"/>
          <w:sz w:val="22"/>
          <w:szCs w:val="22"/>
        </w:rPr>
        <w:t>, a to wymaga nie tylko śledzenia trendów, ale i wypracowania własnych rozwiązań</w:t>
      </w:r>
      <w:r w:rsidRPr="00723E56">
        <w:rPr>
          <w:rFonts w:ascii="Calibri" w:hAnsi="Calibri" w:cs="Helvetica"/>
          <w:color w:val="212122"/>
          <w:sz w:val="22"/>
          <w:szCs w:val="22"/>
        </w:rPr>
        <w:t xml:space="preserve"> - </w:t>
      </w:r>
      <w:r>
        <w:rPr>
          <w:rFonts w:ascii="Calibri" w:hAnsi="Calibri" w:cs="Helvetica"/>
          <w:color w:val="212122"/>
          <w:sz w:val="22"/>
          <w:szCs w:val="22"/>
        </w:rPr>
        <w:t>mówi</w:t>
      </w:r>
      <w:r w:rsidRPr="00723E56">
        <w:rPr>
          <w:rFonts w:ascii="Calibri" w:hAnsi="Calibri" w:cs="Helvetica"/>
          <w:color w:val="212122"/>
          <w:sz w:val="22"/>
          <w:szCs w:val="22"/>
        </w:rPr>
        <w:t xml:space="preserve"> Wtorkowski.</w:t>
      </w:r>
    </w:p>
    <w:p w14:paraId="0B07EAF2" w14:textId="77777777" w:rsidR="00420D49" w:rsidRDefault="00420D49" w:rsidP="00420D49">
      <w:pPr>
        <w:jc w:val="both"/>
        <w:rPr>
          <w:rFonts w:eastAsia="Calibri"/>
          <w:sz w:val="22"/>
          <w:szCs w:val="22"/>
        </w:rPr>
      </w:pPr>
    </w:p>
    <w:p w14:paraId="3E2F027F" w14:textId="6A9E731D" w:rsidR="00996385" w:rsidRPr="0022619A" w:rsidRDefault="00996385" w:rsidP="00420D49">
      <w:pPr>
        <w:jc w:val="both"/>
        <w:rPr>
          <w:rFonts w:asciiTheme="minorHAnsi" w:hAnsiTheme="minorHAnsi"/>
          <w:sz w:val="22"/>
          <w:szCs w:val="22"/>
        </w:rPr>
      </w:pPr>
      <w:r w:rsidRPr="00AE406B">
        <w:rPr>
          <w:rFonts w:asciiTheme="minorHAnsi" w:hAnsiTheme="minorHAnsi" w:cs="Arial"/>
          <w:sz w:val="22"/>
          <w:szCs w:val="22"/>
        </w:rPr>
        <w:t xml:space="preserve">Dodatkowo w </w:t>
      </w:r>
      <w:r w:rsidR="00303A05">
        <w:rPr>
          <w:rFonts w:asciiTheme="minorHAnsi" w:hAnsiTheme="minorHAnsi" w:cs="Arial"/>
          <w:sz w:val="22"/>
          <w:szCs w:val="22"/>
        </w:rPr>
        <w:t xml:space="preserve">maju 2017 r. </w:t>
      </w:r>
      <w:r w:rsidR="00420D49" w:rsidRPr="00AE406B">
        <w:rPr>
          <w:rFonts w:asciiTheme="minorHAnsi" w:hAnsiTheme="minorHAnsi" w:cs="Arial"/>
          <w:sz w:val="22"/>
          <w:szCs w:val="22"/>
        </w:rPr>
        <w:t>LUG podpisał</w:t>
      </w:r>
      <w:r w:rsidRPr="00AE406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E406B">
        <w:rPr>
          <w:rFonts w:asciiTheme="minorHAnsi" w:hAnsiTheme="minorHAnsi"/>
          <w:sz w:val="22"/>
          <w:szCs w:val="22"/>
        </w:rPr>
        <w:t xml:space="preserve">umowę o dofinansowanie </w:t>
      </w:r>
      <w:r w:rsidR="00420D49" w:rsidRPr="00AE406B">
        <w:rPr>
          <w:rFonts w:asciiTheme="minorHAnsi" w:hAnsiTheme="minorHAnsi"/>
          <w:sz w:val="22"/>
          <w:szCs w:val="22"/>
        </w:rPr>
        <w:t xml:space="preserve">innowacyjnego </w:t>
      </w:r>
      <w:r w:rsidRPr="00AE406B">
        <w:rPr>
          <w:rFonts w:asciiTheme="minorHAnsi" w:hAnsiTheme="minorHAnsi"/>
          <w:sz w:val="22"/>
          <w:szCs w:val="22"/>
        </w:rPr>
        <w:t>projektu</w:t>
      </w:r>
      <w:r w:rsidR="00420D49" w:rsidRPr="00AE406B">
        <w:rPr>
          <w:rFonts w:asciiTheme="minorHAnsi" w:hAnsiTheme="minorHAnsi"/>
          <w:sz w:val="22"/>
          <w:szCs w:val="22"/>
        </w:rPr>
        <w:t>, w ramach którego</w:t>
      </w:r>
      <w:r w:rsidRPr="00AE406B">
        <w:rPr>
          <w:rFonts w:asciiTheme="minorHAnsi" w:hAnsiTheme="minorHAnsi"/>
          <w:sz w:val="22"/>
          <w:szCs w:val="22"/>
        </w:rPr>
        <w:t xml:space="preserve"> powstanie zestaw 40 specjalistycznych prototypów opraw oświetleniowych do współpracy z inteligentnym systemem zarządzani</w:t>
      </w:r>
      <w:r w:rsidR="00420D49" w:rsidRPr="00AE406B">
        <w:rPr>
          <w:rFonts w:asciiTheme="minorHAnsi" w:hAnsiTheme="minorHAnsi"/>
          <w:sz w:val="22"/>
          <w:szCs w:val="22"/>
        </w:rPr>
        <w:t xml:space="preserve">a oświetleniem (smart lighting). </w:t>
      </w:r>
      <w:r w:rsidR="00420D49" w:rsidRPr="00AE406B">
        <w:rPr>
          <w:rStyle w:val="Pogrubienie"/>
          <w:rFonts w:asciiTheme="minorHAnsi" w:hAnsiTheme="minorHAnsi"/>
          <w:b w:val="0"/>
          <w:sz w:val="22"/>
          <w:szCs w:val="22"/>
        </w:rPr>
        <w:t xml:space="preserve">Projekt jest </w:t>
      </w:r>
      <w:r w:rsidR="00420D49" w:rsidRPr="00AE406B">
        <w:rPr>
          <w:rFonts w:asciiTheme="minorHAnsi" w:hAnsiTheme="minorHAnsi" w:cstheme="minorHAnsi"/>
          <w:sz w:val="22"/>
          <w:szCs w:val="22"/>
        </w:rPr>
        <w:t>współfin</w:t>
      </w:r>
      <w:r w:rsidR="001F14D5" w:rsidRPr="00AE406B">
        <w:rPr>
          <w:rFonts w:asciiTheme="minorHAnsi" w:hAnsiTheme="minorHAnsi" w:cstheme="minorHAnsi"/>
          <w:sz w:val="22"/>
          <w:szCs w:val="22"/>
        </w:rPr>
        <w:t>ansowany</w:t>
      </w:r>
      <w:r w:rsidR="00420D49" w:rsidRPr="00AE406B">
        <w:rPr>
          <w:rFonts w:asciiTheme="minorHAnsi" w:hAnsiTheme="minorHAnsi" w:cstheme="minorHAnsi"/>
          <w:sz w:val="22"/>
          <w:szCs w:val="22"/>
        </w:rPr>
        <w:t xml:space="preserve"> ze środków Europejskiego Funduszu Rozwoju Regionalnego w ramach Regionalnego Programu Operacyjnego – Lubuskie 2020. </w:t>
      </w:r>
      <w:r w:rsidR="00420D49" w:rsidRPr="00AE406B">
        <w:rPr>
          <w:rFonts w:asciiTheme="minorHAnsi" w:hAnsiTheme="minorHAnsi"/>
          <w:sz w:val="22"/>
          <w:szCs w:val="22"/>
        </w:rPr>
        <w:t>Całkowita w</w:t>
      </w:r>
      <w:r w:rsidRPr="00AE406B">
        <w:rPr>
          <w:rFonts w:asciiTheme="minorHAnsi" w:hAnsiTheme="minorHAnsi"/>
          <w:sz w:val="22"/>
          <w:szCs w:val="22"/>
        </w:rPr>
        <w:t>artość projektu to 12,85 mln zł, przy poziomie dofinansowania w wysokości 42</w:t>
      </w:r>
      <w:r w:rsidR="00567F8B">
        <w:rPr>
          <w:rFonts w:asciiTheme="minorHAnsi" w:hAnsiTheme="minorHAnsi"/>
          <w:sz w:val="22"/>
          <w:szCs w:val="22"/>
        </w:rPr>
        <w:t>,</w:t>
      </w:r>
      <w:r w:rsidRPr="00AE406B">
        <w:rPr>
          <w:rFonts w:asciiTheme="minorHAnsi" w:hAnsiTheme="minorHAnsi"/>
          <w:sz w:val="22"/>
          <w:szCs w:val="22"/>
        </w:rPr>
        <w:t>05</w:t>
      </w:r>
      <w:r w:rsidR="00420D49" w:rsidRPr="00AE406B">
        <w:rPr>
          <w:rFonts w:asciiTheme="minorHAnsi" w:hAnsiTheme="minorHAnsi"/>
          <w:sz w:val="22"/>
          <w:szCs w:val="22"/>
        </w:rPr>
        <w:t xml:space="preserve"> proc.</w:t>
      </w:r>
      <w:r w:rsidR="00420D49">
        <w:rPr>
          <w:rFonts w:asciiTheme="minorHAnsi" w:hAnsiTheme="minorHAnsi"/>
          <w:sz w:val="22"/>
          <w:szCs w:val="22"/>
        </w:rPr>
        <w:t xml:space="preserve"> </w:t>
      </w:r>
    </w:p>
    <w:p w14:paraId="5E3836FD" w14:textId="77777777" w:rsidR="00996385" w:rsidRDefault="00996385" w:rsidP="006620FD">
      <w:pPr>
        <w:jc w:val="both"/>
        <w:rPr>
          <w:rFonts w:ascii="Calibri" w:hAnsi="Calibri" w:cs="Arial"/>
          <w:b/>
          <w:sz w:val="22"/>
          <w:szCs w:val="22"/>
        </w:rPr>
      </w:pPr>
    </w:p>
    <w:p w14:paraId="5D704387" w14:textId="77777777" w:rsidR="00430C67" w:rsidRDefault="00430C67" w:rsidP="006620FD">
      <w:pPr>
        <w:jc w:val="both"/>
        <w:rPr>
          <w:rFonts w:ascii="Calibri" w:hAnsi="Calibri" w:cs="Arial"/>
          <w:b/>
          <w:sz w:val="22"/>
          <w:szCs w:val="22"/>
        </w:rPr>
      </w:pPr>
    </w:p>
    <w:p w14:paraId="36DB6DD5" w14:textId="77777777" w:rsidR="00430C67" w:rsidRDefault="00430C67" w:rsidP="006620FD">
      <w:pPr>
        <w:jc w:val="both"/>
        <w:rPr>
          <w:rFonts w:ascii="Calibri" w:hAnsi="Calibri" w:cs="Arial"/>
          <w:b/>
          <w:sz w:val="22"/>
          <w:szCs w:val="22"/>
        </w:rPr>
      </w:pPr>
    </w:p>
    <w:p w14:paraId="5627B0F7" w14:textId="0B70D5FB" w:rsidR="00344575" w:rsidRDefault="00344575" w:rsidP="0034457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Wypłata dywidendy i przejście na GPW</w:t>
      </w:r>
      <w:r>
        <w:rPr>
          <w:rFonts w:ascii="Calibri" w:hAnsi="Calibri" w:cs="Arial"/>
          <w:b/>
          <w:sz w:val="22"/>
          <w:szCs w:val="22"/>
        </w:rPr>
        <w:br/>
      </w:r>
    </w:p>
    <w:p w14:paraId="335B0FC0" w14:textId="5A182F4C" w:rsidR="006761DF" w:rsidRDefault="00D06072" w:rsidP="00430C67">
      <w:pPr>
        <w:jc w:val="both"/>
        <w:rPr>
          <w:rFonts w:ascii="Calibri" w:hAnsi="Calibri" w:cs="Helvetica"/>
          <w:bCs/>
          <w:sz w:val="22"/>
          <w:szCs w:val="22"/>
        </w:rPr>
      </w:pPr>
      <w:r w:rsidRPr="00D06072">
        <w:rPr>
          <w:rFonts w:ascii="Calibri" w:hAnsi="Calibri" w:cs="Arial"/>
          <w:sz w:val="22"/>
          <w:szCs w:val="22"/>
        </w:rPr>
        <w:t>Zarząd LUG S.A. podjął uchwałę o rozpoczęciu niezbędnych działań prawnych mający</w:t>
      </w:r>
      <w:r w:rsidR="001F14D5">
        <w:rPr>
          <w:rFonts w:ascii="Calibri" w:hAnsi="Calibri" w:cs="Arial"/>
          <w:sz w:val="22"/>
          <w:szCs w:val="22"/>
        </w:rPr>
        <w:t>ch na celu przeniesienie akcji s</w:t>
      </w:r>
      <w:r w:rsidRPr="00D06072">
        <w:rPr>
          <w:rFonts w:ascii="Calibri" w:hAnsi="Calibri" w:cs="Arial"/>
          <w:sz w:val="22"/>
          <w:szCs w:val="22"/>
        </w:rPr>
        <w:t>półki, notowanych dotychczas w Alternatywnym Systemie Obrotu na rynku NewConnect, do notowań na rynku regulowanym Giełdy Papierów Wartościowych w Warszawie S.A.</w:t>
      </w:r>
      <w:r>
        <w:rPr>
          <w:rFonts w:ascii="Calibri" w:hAnsi="Calibri" w:cs="Arial"/>
          <w:sz w:val="22"/>
          <w:szCs w:val="22"/>
        </w:rPr>
        <w:t xml:space="preserve"> </w:t>
      </w:r>
      <w:r w:rsidR="001F14D5">
        <w:rPr>
          <w:rFonts w:ascii="Calibri" w:hAnsi="Calibri" w:cs="Arial"/>
          <w:sz w:val="22"/>
          <w:szCs w:val="22"/>
        </w:rPr>
        <w:br/>
      </w:r>
      <w:r w:rsidR="00F977BC" w:rsidRPr="006620FD">
        <w:rPr>
          <w:rFonts w:ascii="Calibri" w:hAnsi="Calibri" w:cs="Arial"/>
          <w:sz w:val="22"/>
          <w:szCs w:val="22"/>
        </w:rPr>
        <w:t xml:space="preserve">W czerwcu </w:t>
      </w:r>
      <w:r w:rsidR="001F14D5">
        <w:rPr>
          <w:rFonts w:ascii="Calibri" w:hAnsi="Calibri" w:cs="Arial"/>
          <w:sz w:val="22"/>
          <w:szCs w:val="22"/>
        </w:rPr>
        <w:t>rekomendację z</w:t>
      </w:r>
      <w:r>
        <w:rPr>
          <w:rFonts w:ascii="Calibri" w:hAnsi="Calibri" w:cs="Arial"/>
          <w:sz w:val="22"/>
          <w:szCs w:val="22"/>
        </w:rPr>
        <w:t>arządu pozytywnie zaopiniowało</w:t>
      </w:r>
      <w:r w:rsidR="00F977BC" w:rsidRPr="006620FD">
        <w:rPr>
          <w:rFonts w:ascii="Calibri" w:hAnsi="Calibri" w:cs="Arial"/>
          <w:sz w:val="22"/>
          <w:szCs w:val="22"/>
        </w:rPr>
        <w:t xml:space="preserve"> Walne Zgromadzenie</w:t>
      </w:r>
      <w:r w:rsidR="0003000F">
        <w:rPr>
          <w:rFonts w:ascii="Calibri" w:hAnsi="Calibri" w:cs="Arial"/>
          <w:sz w:val="22"/>
          <w:szCs w:val="22"/>
        </w:rPr>
        <w:t xml:space="preserve">, które </w:t>
      </w:r>
      <w:r w:rsidR="0003000F">
        <w:rPr>
          <w:rFonts w:ascii="Calibri" w:hAnsi="Calibri" w:cs="Helvetica"/>
          <w:bCs/>
          <w:sz w:val="22"/>
          <w:szCs w:val="22"/>
        </w:rPr>
        <w:t xml:space="preserve">podjęło </w:t>
      </w:r>
      <w:r w:rsidR="000E5226" w:rsidRPr="006620FD">
        <w:rPr>
          <w:rFonts w:ascii="Calibri" w:hAnsi="Calibri" w:cs="Helvetica"/>
          <w:bCs/>
          <w:sz w:val="22"/>
          <w:szCs w:val="22"/>
        </w:rPr>
        <w:t xml:space="preserve">uchwałę o dopuszczeniu i wprowadzeniu akcji </w:t>
      </w:r>
      <w:r w:rsidR="000E5226" w:rsidRPr="006620FD">
        <w:rPr>
          <w:rFonts w:ascii="Calibri" w:hAnsi="Calibri" w:cs="Calibri"/>
          <w:bCs/>
          <w:sz w:val="22"/>
          <w:szCs w:val="22"/>
        </w:rPr>
        <w:t>serii A, B i C</w:t>
      </w:r>
      <w:r w:rsidR="000E5226" w:rsidRPr="006620FD">
        <w:rPr>
          <w:rFonts w:ascii="Calibri" w:hAnsi="Calibri" w:cs="Calibri"/>
          <w:sz w:val="22"/>
          <w:szCs w:val="22"/>
        </w:rPr>
        <w:t xml:space="preserve"> </w:t>
      </w:r>
      <w:r w:rsidR="000E5226" w:rsidRPr="006620FD">
        <w:rPr>
          <w:rFonts w:ascii="Calibri" w:hAnsi="Calibri" w:cs="Helvetica"/>
          <w:bCs/>
          <w:sz w:val="22"/>
          <w:szCs w:val="22"/>
        </w:rPr>
        <w:t xml:space="preserve">spółki do obrotu na GPW </w:t>
      </w:r>
      <w:r w:rsidR="000E5226" w:rsidRPr="006620FD">
        <w:rPr>
          <w:rFonts w:ascii="Calibri" w:hAnsi="Calibri" w:cs="Calibri"/>
          <w:bCs/>
          <w:sz w:val="22"/>
          <w:szCs w:val="22"/>
        </w:rPr>
        <w:t>w Warszawie S.A</w:t>
      </w:r>
      <w:r w:rsidR="000E5226" w:rsidRPr="006620FD">
        <w:rPr>
          <w:rFonts w:ascii="Calibri" w:hAnsi="Calibri" w:cs="Helvetica"/>
          <w:bCs/>
          <w:sz w:val="22"/>
          <w:szCs w:val="22"/>
        </w:rPr>
        <w:t>. Obecnie trwają prace związane z przejściem na rynek regulowany i debiutem na głównym parkiecie.</w:t>
      </w:r>
      <w:r w:rsidR="00E14827">
        <w:rPr>
          <w:rFonts w:ascii="Calibri" w:hAnsi="Calibri" w:cs="Helvetica"/>
          <w:bCs/>
          <w:sz w:val="22"/>
          <w:szCs w:val="22"/>
        </w:rPr>
        <w:t xml:space="preserve"> </w:t>
      </w:r>
      <w:r w:rsidR="00414D20">
        <w:rPr>
          <w:rFonts w:ascii="Calibri" w:hAnsi="Calibri" w:cs="Helvetica"/>
          <w:bCs/>
          <w:sz w:val="22"/>
          <w:szCs w:val="22"/>
        </w:rPr>
        <w:t>Prospekt zostanie złożony do KNF jeszcze w III kwartale, a termin debiut LUG na rynku regulowany jest szacowany na początek przyszłego roku.</w:t>
      </w:r>
    </w:p>
    <w:p w14:paraId="614640DE" w14:textId="77777777" w:rsidR="006761DF" w:rsidRDefault="006761DF" w:rsidP="00430C67">
      <w:pPr>
        <w:jc w:val="both"/>
        <w:rPr>
          <w:rFonts w:ascii="Calibri" w:hAnsi="Calibri" w:cs="Helvetica"/>
          <w:bCs/>
          <w:sz w:val="22"/>
          <w:szCs w:val="22"/>
        </w:rPr>
      </w:pPr>
    </w:p>
    <w:p w14:paraId="13FEDC6D" w14:textId="1B114B6A" w:rsidR="006761DF" w:rsidRPr="00DC694C" w:rsidRDefault="0003000F" w:rsidP="00430C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Akcjonariusze uchwalili również</w:t>
      </w:r>
      <w:r w:rsidRPr="006620FD">
        <w:rPr>
          <w:rFonts w:ascii="Calibri" w:hAnsi="Calibri" w:cs="Arial"/>
          <w:sz w:val="22"/>
          <w:szCs w:val="22"/>
        </w:rPr>
        <w:t xml:space="preserve"> wypłatę dywidendy </w:t>
      </w:r>
      <w:r w:rsidR="006761DF">
        <w:rPr>
          <w:rFonts w:ascii="Calibri" w:hAnsi="Calibri" w:cs="Arial"/>
          <w:sz w:val="22"/>
          <w:szCs w:val="22"/>
        </w:rPr>
        <w:t xml:space="preserve">w wysokości </w:t>
      </w:r>
      <w:r w:rsidRPr="006620FD">
        <w:rPr>
          <w:rFonts w:ascii="Calibri" w:hAnsi="Calibri" w:cs="Arial"/>
          <w:sz w:val="22"/>
          <w:szCs w:val="22"/>
        </w:rPr>
        <w:t>0,14 zł na ak</w:t>
      </w:r>
      <w:r w:rsidR="00970A3F">
        <w:rPr>
          <w:rFonts w:ascii="Calibri" w:hAnsi="Calibri" w:cs="Arial"/>
          <w:sz w:val="22"/>
          <w:szCs w:val="22"/>
        </w:rPr>
        <w:t>cję</w:t>
      </w:r>
      <w:r w:rsidR="00E14827">
        <w:rPr>
          <w:rFonts w:ascii="Calibri" w:hAnsi="Calibri" w:cs="Arial"/>
          <w:sz w:val="22"/>
          <w:szCs w:val="22"/>
        </w:rPr>
        <w:t xml:space="preserve">. </w:t>
      </w:r>
      <w:r w:rsidR="006761DF" w:rsidRPr="00DC694C">
        <w:rPr>
          <w:rFonts w:ascii="Calibri" w:hAnsi="Calibri"/>
          <w:sz w:val="22"/>
          <w:szCs w:val="22"/>
        </w:rPr>
        <w:t xml:space="preserve">Zgodnie </w:t>
      </w:r>
      <w:r w:rsidR="006761DF" w:rsidRPr="00DC694C">
        <w:rPr>
          <w:rFonts w:ascii="Calibri" w:hAnsi="Calibri"/>
          <w:sz w:val="22"/>
          <w:szCs w:val="22"/>
        </w:rPr>
        <w:br/>
        <w:t xml:space="preserve">z uchwałą, do akcjonariuszy trafi 1,07 mln zł, co stanowi blisko 30 proc. skonsolidowanego zysku. </w:t>
      </w:r>
      <w:r w:rsidR="00430C67">
        <w:rPr>
          <w:rFonts w:ascii="Calibri" w:hAnsi="Calibri"/>
          <w:sz w:val="22"/>
          <w:szCs w:val="22"/>
        </w:rPr>
        <w:br/>
      </w:r>
      <w:r w:rsidR="006761DF" w:rsidRPr="00DC694C">
        <w:rPr>
          <w:rFonts w:ascii="Calibri" w:hAnsi="Calibri"/>
          <w:sz w:val="22"/>
          <w:szCs w:val="22"/>
        </w:rPr>
        <w:t xml:space="preserve">To druga wypłata dywidendy w historii spółki. </w:t>
      </w:r>
      <w:r w:rsidR="006761DF">
        <w:rPr>
          <w:rFonts w:ascii="Calibri" w:hAnsi="Calibri"/>
          <w:sz w:val="22"/>
          <w:szCs w:val="22"/>
        </w:rPr>
        <w:t>W</w:t>
      </w:r>
      <w:r w:rsidR="006761DF" w:rsidRPr="00DC694C">
        <w:rPr>
          <w:rFonts w:ascii="Calibri" w:hAnsi="Calibri"/>
          <w:sz w:val="22"/>
          <w:szCs w:val="22"/>
        </w:rPr>
        <w:t xml:space="preserve">ypłata </w:t>
      </w:r>
      <w:r w:rsidR="006761DF">
        <w:rPr>
          <w:rFonts w:ascii="Calibri" w:hAnsi="Calibri"/>
          <w:sz w:val="22"/>
          <w:szCs w:val="22"/>
        </w:rPr>
        <w:t xml:space="preserve">zysku </w:t>
      </w:r>
      <w:r w:rsidR="006761DF" w:rsidRPr="00DC694C">
        <w:rPr>
          <w:rFonts w:ascii="Calibri" w:hAnsi="Calibri"/>
          <w:sz w:val="22"/>
          <w:szCs w:val="22"/>
        </w:rPr>
        <w:t>nastąpi 21 września 2017 roku.</w:t>
      </w:r>
    </w:p>
    <w:p w14:paraId="11D9AD95" w14:textId="77777777" w:rsidR="00E11BC2" w:rsidRDefault="00E11BC2" w:rsidP="00FC35CC">
      <w:pPr>
        <w:rPr>
          <w:rFonts w:asciiTheme="minorHAnsi" w:hAnsiTheme="minorHAnsi"/>
          <w:b/>
          <w:noProof/>
          <w:szCs w:val="22"/>
        </w:rPr>
      </w:pPr>
    </w:p>
    <w:p w14:paraId="5F7D2BFD" w14:textId="77777777" w:rsidR="006D7F96" w:rsidRPr="00172FF6" w:rsidRDefault="006D7F96" w:rsidP="00FC35CC">
      <w:pPr>
        <w:rPr>
          <w:rFonts w:asciiTheme="minorHAnsi" w:hAnsiTheme="minorHAnsi"/>
          <w:b/>
          <w:noProof/>
          <w:sz w:val="22"/>
          <w:szCs w:val="22"/>
        </w:rPr>
      </w:pPr>
    </w:p>
    <w:p w14:paraId="58C994BA" w14:textId="6D5B620D" w:rsidR="00FC35CC" w:rsidRPr="00172FF6" w:rsidRDefault="00FC35CC" w:rsidP="00FC35CC">
      <w:pPr>
        <w:rPr>
          <w:rFonts w:asciiTheme="minorHAnsi" w:hAnsiTheme="minorHAnsi"/>
          <w:noProof/>
          <w:sz w:val="22"/>
          <w:szCs w:val="22"/>
        </w:rPr>
      </w:pPr>
      <w:r w:rsidRPr="00172FF6">
        <w:rPr>
          <w:rFonts w:asciiTheme="minorHAnsi" w:hAnsiTheme="minorHAnsi"/>
          <w:b/>
          <w:noProof/>
          <w:sz w:val="22"/>
          <w:szCs w:val="22"/>
        </w:rPr>
        <w:t xml:space="preserve">Wybrane </w:t>
      </w:r>
      <w:r w:rsidR="007737EB" w:rsidRPr="00172FF6">
        <w:rPr>
          <w:rFonts w:asciiTheme="minorHAnsi" w:hAnsiTheme="minorHAnsi"/>
          <w:b/>
          <w:noProof/>
          <w:sz w:val="22"/>
          <w:szCs w:val="22"/>
        </w:rPr>
        <w:t xml:space="preserve">szacunkowe skonsolidowane </w:t>
      </w:r>
      <w:r w:rsidRPr="00172FF6">
        <w:rPr>
          <w:rFonts w:asciiTheme="minorHAnsi" w:hAnsiTheme="minorHAnsi"/>
          <w:b/>
          <w:noProof/>
          <w:sz w:val="22"/>
          <w:szCs w:val="22"/>
        </w:rPr>
        <w:t xml:space="preserve">dane finansowe </w:t>
      </w:r>
      <w:r w:rsidR="007737EB" w:rsidRPr="00172FF6">
        <w:rPr>
          <w:rFonts w:asciiTheme="minorHAnsi" w:hAnsiTheme="minorHAnsi"/>
          <w:b/>
          <w:noProof/>
          <w:sz w:val="22"/>
          <w:szCs w:val="22"/>
        </w:rPr>
        <w:t>Grupy Kapitałowej LUG S.A.</w:t>
      </w:r>
      <w:r w:rsidR="00172FF6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172FF6">
        <w:rPr>
          <w:rFonts w:asciiTheme="minorHAnsi" w:hAnsiTheme="minorHAnsi"/>
          <w:b/>
          <w:noProof/>
          <w:sz w:val="22"/>
          <w:szCs w:val="22"/>
        </w:rPr>
        <w:br/>
      </w:r>
      <w:r w:rsidRPr="00172FF6">
        <w:rPr>
          <w:rFonts w:asciiTheme="minorHAnsi" w:hAnsiTheme="minorHAnsi"/>
          <w:noProof/>
          <w:sz w:val="22"/>
          <w:szCs w:val="22"/>
        </w:rPr>
        <w:t>[</w:t>
      </w:r>
      <w:r w:rsidR="005C2DDD" w:rsidRPr="00172FF6">
        <w:rPr>
          <w:rFonts w:asciiTheme="minorHAnsi" w:hAnsiTheme="minorHAnsi"/>
          <w:noProof/>
          <w:sz w:val="22"/>
          <w:szCs w:val="22"/>
        </w:rPr>
        <w:t>mln</w:t>
      </w:r>
      <w:r w:rsidRPr="00172FF6">
        <w:rPr>
          <w:rFonts w:asciiTheme="minorHAnsi" w:hAnsiTheme="minorHAnsi"/>
          <w:noProof/>
          <w:sz w:val="22"/>
          <w:szCs w:val="22"/>
        </w:rPr>
        <w:t xml:space="preserve"> PLN]</w:t>
      </w:r>
    </w:p>
    <w:p w14:paraId="08F66E84" w14:textId="17BAB726" w:rsidR="007958A8" w:rsidRDefault="007958A8" w:rsidP="00B553DE">
      <w:pPr>
        <w:jc w:val="both"/>
        <w:rPr>
          <w:rFonts w:asciiTheme="minorHAnsi" w:hAnsiTheme="minorHAnsi" w:cstheme="minorHAnsi"/>
          <w:b/>
          <w:noProof/>
          <w:sz w:val="22"/>
        </w:rPr>
      </w:pPr>
    </w:p>
    <w:tbl>
      <w:tblPr>
        <w:tblpPr w:leftFromText="141" w:rightFromText="141" w:vertAnchor="text" w:tblpX="108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415"/>
        <w:gridCol w:w="1415"/>
        <w:gridCol w:w="1417"/>
        <w:gridCol w:w="1417"/>
        <w:gridCol w:w="1136"/>
      </w:tblGrid>
      <w:tr w:rsidR="000A263D" w:rsidRPr="00133746" w14:paraId="68850C5E" w14:textId="77777777" w:rsidTr="000A263D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400177" w14:textId="48202015" w:rsidR="000A263D" w:rsidRPr="00133746" w:rsidRDefault="000A263D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0A263D"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>W ujęciu kwartalnym</w:t>
            </w:r>
          </w:p>
        </w:tc>
      </w:tr>
      <w:tr w:rsidR="00133746" w:rsidRPr="00133746" w14:paraId="507267B0" w14:textId="2039F257" w:rsidTr="000A263D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FA91EF4" w14:textId="77777777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color w:val="FFFFFF" w:themeColor="background1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6154F95" w14:textId="2DA33E4B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II kw. 2016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9AD1E9" w14:textId="5ED5DA1B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 kw. 2017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07395C3" w14:textId="43980E5E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II kw. 2017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D452392" w14:textId="11CEBF92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zmiana </w:t>
            </w:r>
            <w:proofErr w:type="spellStart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kw</w:t>
            </w:r>
            <w:proofErr w:type="spellEnd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/</w:t>
            </w:r>
            <w:proofErr w:type="spellStart"/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kw</w:t>
            </w:r>
            <w:proofErr w:type="spellEnd"/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A12C1E7" w14:textId="6CAF612E" w:rsidR="00133746" w:rsidRPr="00133746" w:rsidRDefault="00133746" w:rsidP="00133746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zmiana r/r</w:t>
            </w:r>
          </w:p>
        </w:tc>
      </w:tr>
      <w:tr w:rsidR="00133746" w:rsidRPr="00133746" w14:paraId="1668C216" w14:textId="6CA5B400" w:rsidTr="00133746">
        <w:trPr>
          <w:trHeight w:val="340"/>
        </w:trPr>
        <w:tc>
          <w:tcPr>
            <w:tcW w:w="135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00A7FF" w14:textId="77777777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Przychody ze sprzedaży</w:t>
            </w:r>
          </w:p>
        </w:tc>
        <w:tc>
          <w:tcPr>
            <w:tcW w:w="75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439D267" w14:textId="3B42802B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31,14</w:t>
            </w:r>
          </w:p>
        </w:tc>
        <w:tc>
          <w:tcPr>
            <w:tcW w:w="75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949A16A" w14:textId="6C1C1501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30,47</w:t>
            </w:r>
          </w:p>
        </w:tc>
        <w:tc>
          <w:tcPr>
            <w:tcW w:w="760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18C26435" w14:textId="2A126EDC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33,31</w:t>
            </w:r>
          </w:p>
        </w:tc>
        <w:tc>
          <w:tcPr>
            <w:tcW w:w="760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48B131A" w14:textId="7DA8B3D4" w:rsidR="00133746" w:rsidRPr="00AE406B" w:rsidRDefault="00133746" w:rsidP="00133746">
            <w:pPr>
              <w:ind w:left="142"/>
              <w:jc w:val="right"/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+9,3%</w:t>
            </w:r>
          </w:p>
        </w:tc>
        <w:tc>
          <w:tcPr>
            <w:tcW w:w="608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2BF75239" w14:textId="4C07BC8F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+7,0%</w:t>
            </w:r>
          </w:p>
        </w:tc>
      </w:tr>
      <w:tr w:rsidR="00133746" w:rsidRPr="00133746" w14:paraId="5138FE62" w14:textId="4A1A0FAD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A805C" w14:textId="4D06F17C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E4B365D" w14:textId="0953C4E2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6719209" w14:textId="49BF1F70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0,71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6DFC2DAC" w14:textId="7F7E1FB5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E71077B" w14:textId="6B037B20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+58,</w:t>
            </w:r>
            <w:r w:rsidR="00F80D35">
              <w:rPr>
                <w:rFonts w:ascii="Calibri" w:hAnsi="Calibri" w:cs="Calibri"/>
                <w:sz w:val="20"/>
                <w:szCs w:val="20"/>
              </w:rPr>
              <w:t>5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64D837D0" w14:textId="20C41064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+9,1%</w:t>
            </w:r>
          </w:p>
        </w:tc>
      </w:tr>
      <w:tr w:rsidR="00133746" w:rsidRPr="00133746" w14:paraId="3D9E2B96" w14:textId="55E209D7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83C375" w14:textId="044060CD" w:rsidR="00133746" w:rsidRPr="00AE406B" w:rsidRDefault="00133746" w:rsidP="00133746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operacyjna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3EE086A" w14:textId="6A2790BB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3,3%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3DC5AB17" w14:textId="0B604F5E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2,3%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6341705D" w14:textId="69D75E93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3,4%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08085E9" w14:textId="66A2C243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+1,0pp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5BA070CB" w14:textId="0D037A48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+0,1pp</w:t>
            </w:r>
          </w:p>
        </w:tc>
      </w:tr>
      <w:tr w:rsidR="00133746" w:rsidRPr="00133746" w14:paraId="3E2A196D" w14:textId="77777777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C6FC53" w14:textId="7545EBFA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Amortyzacja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DCB0292" w14:textId="3B74C38C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02E9626" w14:textId="097EA45C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642F411" w14:textId="2780B949" w:rsidR="00133746" w:rsidRPr="00AE406B" w:rsidRDefault="00133746" w:rsidP="00AE406B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</w:t>
            </w:r>
            <w:r w:rsid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  <w:r w:rsidR="00172FF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199F5DC" w14:textId="41418CA5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-1,</w:t>
            </w:r>
            <w:r w:rsidR="00F27D7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4A79CFEA" w14:textId="02740A7C" w:rsidR="00133746" w:rsidRPr="00AE406B" w:rsidRDefault="00133746" w:rsidP="00F27D7F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F27D7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21,1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133746" w:rsidRPr="00133746" w14:paraId="5E53B8CF" w14:textId="351406F8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FB0191" w14:textId="77777777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EBITDA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377FCFA" w14:textId="1D3CC0E4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2,03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5D30F2D6" w14:textId="00D04DA1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1,94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9E0EADD" w14:textId="78A17DAD" w:rsidR="00133746" w:rsidRPr="00AE406B" w:rsidRDefault="00133746" w:rsidP="00AE406B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</w:t>
            </w:r>
            <w:r w:rsid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049EE213" w14:textId="45F1391C" w:rsidR="00133746" w:rsidRPr="00AE406B" w:rsidRDefault="00133746" w:rsidP="00133746">
            <w:pPr>
              <w:ind w:left="142"/>
              <w:jc w:val="right"/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5C5C2F29" w14:textId="01AC5451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+1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0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133746" w:rsidRPr="00133746" w14:paraId="5B82BDB7" w14:textId="578A1448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5C918" w14:textId="77777777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EBITDA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6608D24" w14:textId="4605F9B1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6,5%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1135560" w14:textId="7C8A07B6" w:rsidR="00133746" w:rsidRPr="00AE406B" w:rsidDel="00CD2E4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6,4%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DBF1FAA" w14:textId="665F5CF1" w:rsidR="00133746" w:rsidRPr="00AE406B" w:rsidDel="00CD2E4B" w:rsidRDefault="00AE406B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7,0</w:t>
            </w:r>
            <w:r w:rsidR="00133746"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82E83CA" w14:textId="4B2B53DC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+0,</w:t>
            </w:r>
            <w:r w:rsidR="00F80D35">
              <w:rPr>
                <w:rFonts w:ascii="Calibri" w:hAnsi="Calibri" w:cs="Calibri"/>
                <w:i/>
                <w:sz w:val="20"/>
                <w:szCs w:val="20"/>
              </w:rPr>
              <w:t>7</w:t>
            </w: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6738E692" w14:textId="583CEDBF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+0,</w:t>
            </w:r>
            <w:r w:rsidR="00F80D35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</w:tr>
      <w:tr w:rsidR="00133746" w:rsidRPr="00133746" w14:paraId="2086B462" w14:textId="77777777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FF865C" w14:textId="6AC2E69F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Zysk brutto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47D26006" w14:textId="28B4E502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1,48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CBA8F88" w14:textId="3EC24236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4C214DF1" w14:textId="3D72EC35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1,49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34B7E201" w14:textId="3479AC87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+81,</w:t>
            </w:r>
            <w:r w:rsidR="00F80D35">
              <w:rPr>
                <w:rFonts w:ascii="Calibri" w:hAnsi="Calibri" w:cs="Calibri"/>
                <w:sz w:val="20"/>
                <w:szCs w:val="20"/>
              </w:rPr>
              <w:t>4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0D6616D5" w14:textId="3ADC7F59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+0,</w:t>
            </w:r>
            <w:r w:rsidR="00F80D35">
              <w:rPr>
                <w:rFonts w:ascii="Calibri" w:hAnsi="Calibri" w:cs="Calibri"/>
                <w:sz w:val="20"/>
                <w:szCs w:val="20"/>
              </w:rPr>
              <w:t>8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33746" w:rsidRPr="00133746" w14:paraId="7B5D3341" w14:textId="0CF255C5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B4ED72" w14:textId="77777777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Zysk netto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550611B1" w14:textId="6B4DE5C7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64E1A6FD" w14:textId="6D45A83C" w:rsidR="00133746" w:rsidRPr="00AE406B" w:rsidRDefault="00133746" w:rsidP="00133746">
            <w:pPr>
              <w:ind w:left="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FD02322" w14:textId="418ED856" w:rsidR="00133746" w:rsidRPr="00AE406B" w:rsidRDefault="00133746" w:rsidP="00133746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EE0A66B" w14:textId="1A3A5DE8" w:rsidR="00133746" w:rsidRPr="00AE406B" w:rsidRDefault="000A263D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+5</w:t>
            </w:r>
            <w:r w:rsidR="00F80D35">
              <w:rPr>
                <w:rFonts w:ascii="Calibri" w:hAnsi="Calibri" w:cs="Calibri"/>
                <w:sz w:val="20"/>
                <w:szCs w:val="20"/>
              </w:rPr>
              <w:t>4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,</w:t>
            </w:r>
            <w:r w:rsidR="00F80D35">
              <w:rPr>
                <w:rFonts w:ascii="Calibri" w:hAnsi="Calibri" w:cs="Calibri"/>
                <w:sz w:val="20"/>
                <w:szCs w:val="20"/>
              </w:rPr>
              <w:t>4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47D11B2A" w14:textId="4C315091" w:rsidR="00133746" w:rsidRPr="00AE406B" w:rsidRDefault="000A263D" w:rsidP="00133746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+3,</w:t>
            </w:r>
            <w:r w:rsidR="00F80D35">
              <w:rPr>
                <w:rFonts w:ascii="Calibri" w:hAnsi="Calibri" w:cs="Calibri"/>
                <w:sz w:val="20"/>
                <w:szCs w:val="20"/>
              </w:rPr>
              <w:t>9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133746" w:rsidRPr="00133746" w14:paraId="1ED02F46" w14:textId="3C0C07BB" w:rsidTr="00133746">
        <w:trPr>
          <w:trHeight w:val="340"/>
        </w:trPr>
        <w:tc>
          <w:tcPr>
            <w:tcW w:w="135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844364" w14:textId="77777777" w:rsidR="00133746" w:rsidRPr="00AE406B" w:rsidRDefault="00133746" w:rsidP="005C2DDD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netto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0A1A3A0F" w14:textId="305AF012" w:rsidR="00133746" w:rsidRPr="00AE406B" w:rsidRDefault="000A263D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4,0%</w:t>
            </w:r>
          </w:p>
        </w:tc>
        <w:tc>
          <w:tcPr>
            <w:tcW w:w="7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2B32060D" w14:textId="67621AF4" w:rsidR="00133746" w:rsidRPr="00AE406B" w:rsidRDefault="000A263D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2,8%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227" w:type="dxa"/>
            </w:tcMar>
            <w:vAlign w:val="center"/>
          </w:tcPr>
          <w:p w14:paraId="391EE7D5" w14:textId="54B32211" w:rsidR="00133746" w:rsidRPr="00AE406B" w:rsidRDefault="000A263D" w:rsidP="00133746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3,9%</w:t>
            </w:r>
          </w:p>
        </w:tc>
        <w:tc>
          <w:tcPr>
            <w:tcW w:w="76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227" w:type="dxa"/>
            </w:tcMar>
            <w:vAlign w:val="center"/>
          </w:tcPr>
          <w:p w14:paraId="71B09850" w14:textId="772EBAB1" w:rsidR="00133746" w:rsidRPr="00AE406B" w:rsidRDefault="000A263D" w:rsidP="00133746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+1,1pp</w:t>
            </w:r>
          </w:p>
        </w:tc>
        <w:tc>
          <w:tcPr>
            <w:tcW w:w="6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227" w:type="dxa"/>
            </w:tcMar>
            <w:vAlign w:val="center"/>
          </w:tcPr>
          <w:p w14:paraId="349152DF" w14:textId="56BD144E" w:rsidR="00133746" w:rsidRPr="00AE406B" w:rsidRDefault="000A263D" w:rsidP="00133746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-0,1pp</w:t>
            </w:r>
          </w:p>
        </w:tc>
      </w:tr>
    </w:tbl>
    <w:p w14:paraId="64BB5C34" w14:textId="77777777" w:rsidR="0088267A" w:rsidRDefault="0088267A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tblpX="108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266"/>
        <w:gridCol w:w="2266"/>
        <w:gridCol w:w="2264"/>
      </w:tblGrid>
      <w:tr w:rsidR="000A263D" w:rsidRPr="00133746" w14:paraId="69BAAB25" w14:textId="77777777" w:rsidTr="000A263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7B856E" w14:textId="16A01E65" w:rsidR="000A263D" w:rsidRPr="00133746" w:rsidRDefault="000A263D" w:rsidP="000A263D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0A263D"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 xml:space="preserve">W ujęciu </w:t>
            </w:r>
            <w:r>
              <w:rPr>
                <w:rFonts w:ascii="Calibri" w:eastAsia="Calibri" w:hAnsi="Calibri"/>
                <w:b/>
                <w:color w:val="FF0000"/>
                <w:sz w:val="20"/>
                <w:lang w:eastAsia="en-US"/>
              </w:rPr>
              <w:t>półrocznym</w:t>
            </w:r>
          </w:p>
        </w:tc>
      </w:tr>
      <w:tr w:rsidR="000A263D" w:rsidRPr="00133746" w14:paraId="15D16AE7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F3A73B6" w14:textId="77777777" w:rsidR="000A263D" w:rsidRPr="00133746" w:rsidRDefault="000A263D" w:rsidP="00A94CB5">
            <w:pPr>
              <w:ind w:left="142"/>
              <w:jc w:val="center"/>
              <w:rPr>
                <w:rFonts w:ascii="Calibri" w:eastAsia="Calibri" w:hAnsi="Calibri"/>
                <w:color w:val="FFFFFF" w:themeColor="background1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0760620" w14:textId="3734A31C" w:rsidR="000A263D" w:rsidRPr="00133746" w:rsidRDefault="000A263D" w:rsidP="000A263D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I </w:t>
            </w:r>
            <w:r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poł.</w:t>
            </w: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 2016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A20D6C0" w14:textId="7D542475" w:rsidR="000A263D" w:rsidRPr="00133746" w:rsidRDefault="000A263D" w:rsidP="000A263D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I</w:t>
            </w:r>
            <w:r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 poł.</w:t>
            </w: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 xml:space="preserve"> 2017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7006938" w14:textId="77777777" w:rsidR="000A263D" w:rsidRPr="00133746" w:rsidRDefault="000A263D" w:rsidP="00A94CB5">
            <w:pPr>
              <w:ind w:left="142"/>
              <w:jc w:val="center"/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</w:pPr>
            <w:r w:rsidRPr="00133746">
              <w:rPr>
                <w:rFonts w:ascii="Calibri" w:eastAsia="Calibri" w:hAnsi="Calibri"/>
                <w:b/>
                <w:color w:val="FFFFFF" w:themeColor="background1"/>
                <w:sz w:val="16"/>
                <w:lang w:eastAsia="en-US"/>
              </w:rPr>
              <w:t>zmiana r/r</w:t>
            </w:r>
          </w:p>
        </w:tc>
      </w:tr>
      <w:tr w:rsidR="000A263D" w:rsidRPr="00133746" w14:paraId="13876458" w14:textId="77777777" w:rsidTr="000A263D">
        <w:trPr>
          <w:trHeight w:val="340"/>
        </w:trPr>
        <w:tc>
          <w:tcPr>
            <w:tcW w:w="1356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EE66E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Przychody ze sprzedaży</w:t>
            </w:r>
          </w:p>
        </w:tc>
        <w:tc>
          <w:tcPr>
            <w:tcW w:w="121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56DABA83" w14:textId="431A9EC6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53,19</w:t>
            </w:r>
          </w:p>
        </w:tc>
        <w:tc>
          <w:tcPr>
            <w:tcW w:w="121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3F44D813" w14:textId="70EF9089" w:rsidR="000A263D" w:rsidRPr="00CE539E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63,7</w:t>
            </w:r>
            <w:r w:rsidR="00CE539E" w:rsidRPr="00CE539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4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6EA037BE" w14:textId="2D229B64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+19,9%</w:t>
            </w:r>
          </w:p>
        </w:tc>
      </w:tr>
      <w:tr w:rsidR="000A263D" w:rsidRPr="00133746" w14:paraId="7A04289E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1423C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32F6CF77" w14:textId="32F42951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0,55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2C077E07" w14:textId="03E01A4F" w:rsidR="000A263D" w:rsidRPr="00CE539E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1,83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17D5A413" w14:textId="1AECA8DD" w:rsidR="000A263D" w:rsidRPr="00AE406B" w:rsidRDefault="000A263D" w:rsidP="00A94CB5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+233,</w:t>
            </w:r>
            <w:r w:rsidR="00F80D35">
              <w:rPr>
                <w:rFonts w:ascii="Calibri" w:hAnsi="Calibri" w:cs="Calibri"/>
                <w:sz w:val="20"/>
                <w:szCs w:val="20"/>
              </w:rPr>
              <w:t>7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0A263D" w:rsidRPr="00133746" w14:paraId="1C8111E8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72CB0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operacyjna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1E9A1602" w14:textId="64408C89" w:rsidR="000A263D" w:rsidRPr="00AE406B" w:rsidDel="00CD2E4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1,0%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14764F7B" w14:textId="3D8BF1A5" w:rsidR="000A263D" w:rsidRPr="00CE539E" w:rsidDel="00CD2E4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2,9%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71D892B5" w14:textId="7E0BCEDA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+1,8pp</w:t>
            </w:r>
          </w:p>
        </w:tc>
      </w:tr>
      <w:tr w:rsidR="000A263D" w:rsidRPr="00133746" w14:paraId="1B7CE580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98B757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Amortyzacja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63BE5813" w14:textId="20FD2890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2,04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45B3B5AD" w14:textId="0835A29A" w:rsidR="000A263D" w:rsidRPr="00CE539E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</w:t>
            </w:r>
            <w:r w:rsidR="00725B88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2A97C568" w14:textId="0CAB9549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</w:t>
            </w:r>
            <w:r w:rsidR="00725B8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20,6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0A263D" w:rsidRPr="00133746" w14:paraId="50B7C549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D1440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EBITDA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567EB04B" w14:textId="321681F3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48913DEE" w14:textId="3188C04C" w:rsidR="000A263D" w:rsidRPr="00CE539E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4,2</w:t>
            </w:r>
            <w:r w:rsidR="00CE539E" w:rsidRPr="00CE539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66CC8FDB" w14:textId="7D872A2B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+6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  <w:r w:rsidR="00F80D3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  <w:r w:rsidRPr="00AE406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%</w:t>
            </w:r>
          </w:p>
        </w:tc>
      </w:tr>
      <w:tr w:rsidR="000A263D" w:rsidRPr="00133746" w14:paraId="171A354D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185D9B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EBITDA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02CBE638" w14:textId="62896392" w:rsidR="000A263D" w:rsidRPr="00AE406B" w:rsidDel="00CD2E4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4,9%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66CC4A7B" w14:textId="6645E612" w:rsidR="000A263D" w:rsidRPr="00CE539E" w:rsidDel="00CD2E4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6,</w:t>
            </w:r>
            <w:r w:rsidR="00CE539E" w:rsidRPr="00CE53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7</w:t>
            </w:r>
            <w:r w:rsidRPr="00CE53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5BF668AA" w14:textId="4569BDF0" w:rsidR="000A263D" w:rsidRPr="00AE406B" w:rsidRDefault="000A263D" w:rsidP="00A94CB5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+1,</w:t>
            </w:r>
            <w:r w:rsidR="00F80D35">
              <w:rPr>
                <w:rFonts w:ascii="Calibri" w:hAnsi="Calibri" w:cs="Calibri"/>
                <w:i/>
                <w:sz w:val="20"/>
                <w:szCs w:val="20"/>
              </w:rPr>
              <w:t>9</w:t>
            </w: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pp</w:t>
            </w:r>
          </w:p>
        </w:tc>
      </w:tr>
      <w:tr w:rsidR="000A263D" w:rsidRPr="00133746" w14:paraId="2D1C3874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B81E5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lastRenderedPageBreak/>
              <w:t>Zysk brutto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14330D81" w14:textId="2C77899D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0,69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76DFF52C" w14:textId="3A8BA340" w:rsidR="000A263D" w:rsidRPr="00CE539E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E539E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4F167F3D" w14:textId="04A88605" w:rsidR="000A263D" w:rsidRPr="00AE406B" w:rsidRDefault="000A263D" w:rsidP="00A94CB5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+236,</w:t>
            </w:r>
            <w:r w:rsidR="00F80D35">
              <w:rPr>
                <w:rFonts w:ascii="Calibri" w:hAnsi="Calibri" w:cs="Calibri"/>
                <w:sz w:val="20"/>
                <w:szCs w:val="20"/>
              </w:rPr>
              <w:t>8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0A263D" w:rsidRPr="00133746" w14:paraId="732B17D0" w14:textId="77777777" w:rsidTr="000A263D">
        <w:trPr>
          <w:trHeight w:val="340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AE8632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sz w:val="18"/>
                <w:lang w:eastAsia="en-US"/>
              </w:rPr>
              <w:t>Zysk netto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785EEDA6" w14:textId="209F8E63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0,5</w:t>
            </w:r>
            <w:r w:rsidR="004724A0" w:rsidRPr="00AE406B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00399246" w14:textId="70A3FD31" w:rsidR="000A263D" w:rsidRPr="00F80D35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80D3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2,14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7E0A7B5A" w14:textId="0444362F" w:rsidR="000A263D" w:rsidRPr="00AE406B" w:rsidRDefault="000A263D" w:rsidP="00A94CB5">
            <w:pPr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406B">
              <w:rPr>
                <w:rFonts w:ascii="Calibri" w:hAnsi="Calibri" w:cs="Calibri"/>
                <w:sz w:val="20"/>
                <w:szCs w:val="20"/>
              </w:rPr>
              <w:t>+</w:t>
            </w:r>
            <w:r w:rsidR="004724A0" w:rsidRPr="00AE406B">
              <w:rPr>
                <w:rFonts w:ascii="Calibri" w:hAnsi="Calibri" w:cs="Calibri"/>
                <w:sz w:val="20"/>
                <w:szCs w:val="20"/>
              </w:rPr>
              <w:t>30</w:t>
            </w:r>
            <w:r w:rsidR="00F80D35">
              <w:rPr>
                <w:rFonts w:ascii="Calibri" w:hAnsi="Calibri" w:cs="Calibri"/>
                <w:sz w:val="20"/>
                <w:szCs w:val="20"/>
              </w:rPr>
              <w:t>9,4</w:t>
            </w:r>
            <w:r w:rsidRPr="00AE406B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0A263D" w:rsidRPr="00133746" w14:paraId="1DB15D5A" w14:textId="77777777" w:rsidTr="00F80D35">
        <w:trPr>
          <w:trHeight w:val="63"/>
        </w:trPr>
        <w:tc>
          <w:tcPr>
            <w:tcW w:w="13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3D8AF6" w14:textId="77777777" w:rsidR="000A263D" w:rsidRPr="00AE406B" w:rsidRDefault="000A263D" w:rsidP="00A94CB5">
            <w:pPr>
              <w:ind w:left="142"/>
              <w:rPr>
                <w:rFonts w:ascii="Calibri" w:eastAsia="Calibri" w:hAnsi="Calibri" w:cs="Calibri"/>
                <w:i/>
                <w:sz w:val="18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sz w:val="18"/>
                <w:lang w:eastAsia="en-US"/>
              </w:rPr>
              <w:t>Marża netto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right w:w="680" w:type="dxa"/>
            </w:tcMar>
            <w:vAlign w:val="center"/>
          </w:tcPr>
          <w:p w14:paraId="6F08D7B5" w14:textId="0EC6D326" w:rsidR="000A263D" w:rsidRPr="00AE406B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AE406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0,9%</w:t>
            </w:r>
          </w:p>
        </w:tc>
        <w:tc>
          <w:tcPr>
            <w:tcW w:w="12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right w:w="680" w:type="dxa"/>
            </w:tcMar>
            <w:vAlign w:val="center"/>
          </w:tcPr>
          <w:p w14:paraId="062DF2D4" w14:textId="7D4AE775" w:rsidR="000A263D" w:rsidRPr="00F80D35" w:rsidRDefault="000A263D" w:rsidP="00A94CB5">
            <w:pPr>
              <w:ind w:left="142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</w:pPr>
            <w:r w:rsidRPr="00F80D35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en-US"/>
              </w:rPr>
              <w:t>3,4%</w:t>
            </w:r>
          </w:p>
        </w:tc>
        <w:tc>
          <w:tcPr>
            <w:tcW w:w="121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680" w:type="dxa"/>
            </w:tcMar>
            <w:vAlign w:val="center"/>
          </w:tcPr>
          <w:p w14:paraId="670DF65E" w14:textId="00AD50D1" w:rsidR="000A263D" w:rsidRPr="00AE406B" w:rsidRDefault="000A263D" w:rsidP="00A94CB5">
            <w:pPr>
              <w:ind w:left="142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E406B">
              <w:rPr>
                <w:rFonts w:ascii="Calibri" w:hAnsi="Calibri" w:cs="Calibri"/>
                <w:i/>
                <w:sz w:val="20"/>
                <w:szCs w:val="20"/>
              </w:rPr>
              <w:t>+2,4pp</w:t>
            </w:r>
          </w:p>
        </w:tc>
      </w:tr>
    </w:tbl>
    <w:p w14:paraId="7E27FDA4" w14:textId="2EE3BEC1" w:rsidR="000A263D" w:rsidRDefault="000A263D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219C069" w14:textId="60F7753A" w:rsidR="00172A67" w:rsidRDefault="00172A67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059204B" w14:textId="77777777" w:rsidR="00172A67" w:rsidRDefault="00172A67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793F997" w14:textId="6AD54AAC" w:rsidR="00511A64" w:rsidRPr="00FC35CC" w:rsidRDefault="00C82426" w:rsidP="00C8242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</w:p>
    <w:p w14:paraId="1343825D" w14:textId="1B6C7925" w:rsidR="00247D11" w:rsidRPr="00FC35CC" w:rsidRDefault="009C2540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FC35CC">
        <w:rPr>
          <w:rFonts w:asciiTheme="minorHAnsi" w:hAnsiTheme="minorHAnsi" w:cs="Tahoma"/>
          <w:b/>
          <w:bCs/>
          <w:sz w:val="20"/>
          <w:szCs w:val="20"/>
        </w:rPr>
        <w:t>L</w:t>
      </w:r>
      <w:r w:rsidR="00247D11" w:rsidRPr="00FC35CC">
        <w:rPr>
          <w:rFonts w:asciiTheme="minorHAnsi" w:hAnsiTheme="minorHAnsi" w:cs="Tahoma"/>
          <w:b/>
          <w:bCs/>
          <w:sz w:val="20"/>
          <w:szCs w:val="20"/>
        </w:rPr>
        <w:t xml:space="preserve">UG S.A. </w:t>
      </w:r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Light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Factory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Sp. z o.o., LUG GmbH, LUG do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="00247D11" w:rsidRPr="00FC35C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zarządzanym przez warszawską GPW.</w:t>
      </w:r>
      <w:r w:rsidR="002973AC">
        <w:rPr>
          <w:rFonts w:asciiTheme="minorHAnsi" w:hAnsiTheme="minorHAnsi" w:cs="Tahoma"/>
          <w:bCs/>
          <w:sz w:val="20"/>
          <w:szCs w:val="20"/>
        </w:rPr>
        <w:t xml:space="preserve"> W połowie 2017 r. spółka rozpoczęła przygotowania do przeniesienia notowań na rynek regulowany GPW.</w:t>
      </w:r>
      <w:r w:rsidR="00247D11" w:rsidRPr="00FC35CC">
        <w:rPr>
          <w:rFonts w:asciiTheme="minorHAnsi" w:hAnsiTheme="minorHAnsi" w:cs="Tahoma"/>
          <w:bCs/>
          <w:sz w:val="20"/>
          <w:szCs w:val="20"/>
        </w:rPr>
        <w:t xml:space="preserve"> Więcej informacji: </w:t>
      </w:r>
      <w:hyperlink r:id="rId9" w:history="1">
        <w:r w:rsidR="00247D11" w:rsidRPr="00FC35C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14:paraId="1FECDF37" w14:textId="77777777" w:rsidR="00247D11" w:rsidRDefault="00247D11" w:rsidP="00DF5F51">
      <w:pPr>
        <w:rPr>
          <w:rFonts w:ascii="Calibri" w:hAnsi="Calibri"/>
          <w:noProof/>
          <w:szCs w:val="22"/>
        </w:rPr>
      </w:pPr>
    </w:p>
    <w:p w14:paraId="60BEF6EF" w14:textId="77777777" w:rsidR="00FC35CC" w:rsidRDefault="00FC35CC" w:rsidP="00DF5F51">
      <w:pPr>
        <w:rPr>
          <w:rFonts w:ascii="Calibri" w:hAnsi="Calibri"/>
          <w:noProof/>
          <w:szCs w:val="22"/>
        </w:rPr>
      </w:pPr>
    </w:p>
    <w:p w14:paraId="1914079E" w14:textId="77777777" w:rsidR="00247D11" w:rsidRPr="004712E8" w:rsidRDefault="00317B6E" w:rsidP="00DF5F51">
      <w:pPr>
        <w:rPr>
          <w:rFonts w:asciiTheme="minorHAnsi" w:hAnsiTheme="minorHAnsi"/>
          <w:b/>
          <w:sz w:val="22"/>
          <w:szCs w:val="20"/>
        </w:rPr>
      </w:pPr>
      <w:r w:rsidRPr="004712E8">
        <w:rPr>
          <w:rFonts w:asciiTheme="minorHAnsi" w:hAnsiTheme="minorHAnsi"/>
          <w:b/>
          <w:sz w:val="22"/>
          <w:szCs w:val="20"/>
        </w:rPr>
        <w:t>Kontakt dla mediów i inwestorów:</w:t>
      </w:r>
    </w:p>
    <w:p w14:paraId="3074F53E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14:paraId="11F111E2" w14:textId="77777777" w:rsidR="00317B6E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 xml:space="preserve">Monika </w:t>
      </w:r>
      <w:proofErr w:type="spellStart"/>
      <w:r w:rsidRPr="0038330C">
        <w:rPr>
          <w:rFonts w:asciiTheme="minorHAnsi" w:hAnsiTheme="minorHAnsi"/>
          <w:b/>
          <w:sz w:val="20"/>
          <w:szCs w:val="20"/>
        </w:rPr>
        <w:t>Bartoszak</w:t>
      </w:r>
      <w:proofErr w:type="spellEnd"/>
    </w:p>
    <w:p w14:paraId="6847D414" w14:textId="77777777" w:rsidR="0093291E" w:rsidRPr="0093291E" w:rsidRDefault="0093291E" w:rsidP="00DF5F51">
      <w:pPr>
        <w:rPr>
          <w:rFonts w:asciiTheme="minorHAnsi" w:hAnsiTheme="minorHAnsi"/>
          <w:sz w:val="20"/>
          <w:szCs w:val="20"/>
        </w:rPr>
      </w:pPr>
      <w:r w:rsidRPr="0093291E">
        <w:rPr>
          <w:rFonts w:asciiTheme="minorHAnsi" w:hAnsiTheme="minorHAnsi"/>
          <w:sz w:val="20"/>
          <w:szCs w:val="20"/>
        </w:rPr>
        <w:t>Dyrektor Biura Zarządu i Komunikacji</w:t>
      </w:r>
    </w:p>
    <w:p w14:paraId="26A00053" w14:textId="77777777"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14:paraId="633929B2" w14:textId="77777777" w:rsidR="00317B6E" w:rsidRPr="0038330C" w:rsidRDefault="004F1F02" w:rsidP="00317B6E">
      <w:pPr>
        <w:rPr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14:paraId="23017EB0" w14:textId="77777777" w:rsidR="00803F08" w:rsidRDefault="004F1F02" w:rsidP="00DF5F51">
      <w:pPr>
        <w:rPr>
          <w:rStyle w:val="Hipercze"/>
          <w:rFonts w:asciiTheme="minorHAnsi" w:hAnsiTheme="minorHAnsi"/>
          <w:sz w:val="20"/>
          <w:szCs w:val="20"/>
        </w:rPr>
      </w:pPr>
      <w:hyperlink r:id="rId11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p w14:paraId="0B65E46E" w14:textId="77777777" w:rsidR="00FC35CC" w:rsidRDefault="00FC35CC" w:rsidP="00DF5F51">
      <w:pPr>
        <w:rPr>
          <w:rStyle w:val="Hipercze"/>
          <w:rFonts w:asciiTheme="minorHAnsi" w:hAnsiTheme="minorHAnsi"/>
          <w:sz w:val="20"/>
          <w:szCs w:val="20"/>
        </w:rPr>
      </w:pPr>
    </w:p>
    <w:p w14:paraId="5EF9162B" w14:textId="768A58D9" w:rsidR="00FC35CC" w:rsidRDefault="00FC35CC" w:rsidP="00DF5F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Kamila  Górczyńska-Ż</w:t>
      </w:r>
      <w:r w:rsidRPr="00FC35CC">
        <w:rPr>
          <w:rFonts w:asciiTheme="minorHAnsi" w:hAnsiTheme="minorHAnsi"/>
          <w:b/>
          <w:sz w:val="20"/>
          <w:szCs w:val="20"/>
        </w:rPr>
        <w:t>yżkowska</w:t>
      </w:r>
      <w:r>
        <w:rPr>
          <w:rFonts w:asciiTheme="minorHAnsi" w:hAnsiTheme="minorHAnsi"/>
          <w:b/>
          <w:sz w:val="20"/>
          <w:szCs w:val="20"/>
        </w:rPr>
        <w:br/>
      </w:r>
      <w:r w:rsidR="00344575">
        <w:rPr>
          <w:rFonts w:asciiTheme="minorHAnsi" w:hAnsiTheme="minorHAnsi"/>
          <w:sz w:val="20"/>
          <w:szCs w:val="20"/>
        </w:rPr>
        <w:t xml:space="preserve">In </w:t>
      </w:r>
      <w:proofErr w:type="spellStart"/>
      <w:r w:rsidR="00344575">
        <w:rPr>
          <w:rFonts w:asciiTheme="minorHAnsi" w:hAnsiTheme="minorHAnsi"/>
          <w:sz w:val="20"/>
          <w:szCs w:val="20"/>
        </w:rPr>
        <w:t>Touch</w:t>
      </w:r>
      <w:proofErr w:type="spellEnd"/>
      <w:r w:rsidR="00344575">
        <w:rPr>
          <w:rFonts w:asciiTheme="minorHAnsi" w:hAnsiTheme="minorHAnsi"/>
          <w:sz w:val="20"/>
          <w:szCs w:val="20"/>
        </w:rPr>
        <w:br/>
      </w:r>
      <w:r w:rsidRPr="00FC35CC">
        <w:rPr>
          <w:rFonts w:asciiTheme="minorHAnsi" w:hAnsiTheme="minorHAnsi"/>
          <w:sz w:val="20"/>
          <w:szCs w:val="20"/>
        </w:rPr>
        <w:t>+48 601 805 484</w:t>
      </w:r>
      <w:r>
        <w:rPr>
          <w:rFonts w:asciiTheme="minorHAnsi" w:hAnsiTheme="minorHAnsi"/>
          <w:sz w:val="20"/>
          <w:szCs w:val="20"/>
        </w:rPr>
        <w:br/>
      </w:r>
      <w:hyperlink r:id="rId12" w:history="1">
        <w:r w:rsidRPr="00D02F15">
          <w:rPr>
            <w:rStyle w:val="Hipercze"/>
            <w:rFonts w:asciiTheme="minorHAnsi" w:hAnsiTheme="minorHAnsi"/>
            <w:sz w:val="20"/>
            <w:szCs w:val="20"/>
          </w:rPr>
          <w:t>kamila.zyzkowska@intouchpr.pl</w:t>
        </w:r>
      </w:hyperlink>
    </w:p>
    <w:p w14:paraId="14D45108" w14:textId="77777777" w:rsidR="00FC35CC" w:rsidRPr="00FC35CC" w:rsidRDefault="00FC35CC" w:rsidP="00DF5F51">
      <w:pPr>
        <w:rPr>
          <w:rFonts w:asciiTheme="minorHAnsi" w:hAnsiTheme="minorHAnsi"/>
          <w:b/>
          <w:sz w:val="20"/>
          <w:szCs w:val="20"/>
        </w:rPr>
      </w:pPr>
    </w:p>
    <w:p w14:paraId="3035587A" w14:textId="77777777" w:rsidR="00FC35CC" w:rsidRPr="0038330C" w:rsidRDefault="00FC35CC" w:rsidP="00DF5F51">
      <w:pPr>
        <w:rPr>
          <w:rFonts w:asciiTheme="minorHAnsi" w:hAnsiTheme="minorHAnsi"/>
          <w:sz w:val="20"/>
          <w:szCs w:val="20"/>
        </w:rPr>
      </w:pPr>
    </w:p>
    <w:sectPr w:rsidR="00FC35CC" w:rsidRPr="0038330C" w:rsidSect="0012404D">
      <w:headerReference w:type="default" r:id="rId13"/>
      <w:footerReference w:type="default" r:id="rId14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62AF3" w16cid:durableId="1D348F4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68BD" w14:textId="77777777" w:rsidR="00C76AEB" w:rsidRDefault="00C76AEB">
      <w:r>
        <w:separator/>
      </w:r>
    </w:p>
  </w:endnote>
  <w:endnote w:type="continuationSeparator" w:id="0">
    <w:p w14:paraId="50027469" w14:textId="77777777" w:rsidR="00C76AEB" w:rsidRDefault="00C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EFC1" w14:textId="77777777" w:rsidR="003F0D9E" w:rsidRPr="001000FF" w:rsidRDefault="003F0D9E">
    <w:pPr>
      <w:pStyle w:val="Stopka"/>
    </w:pPr>
    <w:r>
      <w:rPr>
        <w:noProof/>
        <w:lang w:val="en-US"/>
      </w:rPr>
      <w:drawing>
        <wp:inline distT="0" distB="0" distL="0" distR="0" wp14:anchorId="5E7E179B" wp14:editId="265C8B66">
          <wp:extent cx="5924550" cy="581025"/>
          <wp:effectExtent l="0" t="0" r="0" b="9525"/>
          <wp:docPr id="4" name="Obraz 4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77E9A" w14:textId="77777777" w:rsidR="00C76AEB" w:rsidRDefault="00C76AEB">
      <w:r>
        <w:separator/>
      </w:r>
    </w:p>
  </w:footnote>
  <w:footnote w:type="continuationSeparator" w:id="0">
    <w:p w14:paraId="6986422E" w14:textId="77777777" w:rsidR="00C76AEB" w:rsidRDefault="00C76AEB">
      <w:r>
        <w:continuationSeparator/>
      </w:r>
    </w:p>
  </w:footnote>
  <w:footnote w:id="1">
    <w:p w14:paraId="437AC131" w14:textId="76C79988" w:rsidR="003F0D9E" w:rsidRPr="00C04E6F" w:rsidRDefault="003F0D9E">
      <w:pPr>
        <w:pStyle w:val="Tekstprzypisudolnego"/>
        <w:rPr>
          <w:color w:val="auto"/>
        </w:rPr>
      </w:pPr>
      <w:r>
        <w:rPr>
          <w:rStyle w:val="Odwoanieprzypisudolnego"/>
        </w:rPr>
        <w:footnoteRef/>
      </w:r>
      <w:r>
        <w:t xml:space="preserve"> </w:t>
      </w:r>
      <w:r w:rsidRPr="00C04E6F">
        <w:rPr>
          <w:color w:val="auto"/>
        </w:rPr>
        <w:t>Najważniejsze trendy w światowym przemyśle LED w 2016 roku, www.lighting.pl</w:t>
      </w:r>
    </w:p>
  </w:footnote>
  <w:footnote w:id="2">
    <w:p w14:paraId="5DF55617" w14:textId="58540D95" w:rsidR="003F0D9E" w:rsidRPr="00C04E6F" w:rsidRDefault="003F0D9E">
      <w:pPr>
        <w:pStyle w:val="Tekstprzypisudolnego"/>
        <w:rPr>
          <w:color w:val="auto"/>
        </w:rPr>
      </w:pPr>
      <w:r w:rsidRPr="00C04E6F">
        <w:rPr>
          <w:rStyle w:val="Odwoanieprzypisudolnego"/>
          <w:color w:val="auto"/>
        </w:rPr>
        <w:footnoteRef/>
      </w:r>
      <w:r w:rsidRPr="00C04E6F">
        <w:rPr>
          <w:color w:val="auto"/>
        </w:rPr>
        <w:t xml:space="preserve"> www.lednews.pl/swiatowy-rynek-oswietlenia-led-2015</w:t>
      </w:r>
    </w:p>
  </w:footnote>
  <w:footnote w:id="3">
    <w:p w14:paraId="7EC31401" w14:textId="0153D3AA" w:rsidR="003F0D9E" w:rsidRPr="00867159" w:rsidRDefault="003F0D9E">
      <w:pPr>
        <w:pStyle w:val="Tekstprzypisudolnego"/>
        <w:rPr>
          <w:lang w:val="en"/>
        </w:rPr>
      </w:pPr>
      <w:r w:rsidRPr="00C04E6F">
        <w:rPr>
          <w:rStyle w:val="Odwoanieprzypisudolnego"/>
          <w:color w:val="auto"/>
        </w:rPr>
        <w:footnoteRef/>
      </w:r>
      <w:r w:rsidRPr="00867159">
        <w:rPr>
          <w:color w:val="auto"/>
          <w:lang w:val="en"/>
        </w:rPr>
        <w:t xml:space="preserve"> </w:t>
      </w:r>
      <w:r w:rsidRPr="00C04E6F">
        <w:rPr>
          <w:color w:val="auto"/>
          <w:lang w:val="en-US"/>
        </w:rPr>
        <w:t xml:space="preserve">Research and Markets „Smart Street Lighting - Global Market Drivers, Opportunities, Trends, and Forecasts, 2016-2022”, </w:t>
      </w:r>
      <w:proofErr w:type="spellStart"/>
      <w:r w:rsidRPr="00C04E6F">
        <w:rPr>
          <w:color w:val="auto"/>
          <w:lang w:val="en-US"/>
        </w:rPr>
        <w:t>luty</w:t>
      </w:r>
      <w:proofErr w:type="spellEnd"/>
      <w:r w:rsidRPr="00C04E6F">
        <w:rPr>
          <w:color w:val="auto"/>
          <w:lang w:val="en-US"/>
        </w:rPr>
        <w:t xml:space="preserve"> 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652F" w14:textId="77777777" w:rsidR="003F0D9E" w:rsidRPr="00A83E2A" w:rsidRDefault="003F0D9E">
    <w:pPr>
      <w:pStyle w:val="Nagwek"/>
    </w:pPr>
    <w:r>
      <w:rPr>
        <w:noProof/>
        <w:lang w:val="en-US"/>
      </w:rPr>
      <w:drawing>
        <wp:inline distT="0" distB="0" distL="0" distR="0" wp14:anchorId="06E6F019" wp14:editId="6495B643">
          <wp:extent cx="5943600" cy="552450"/>
          <wp:effectExtent l="0" t="0" r="0" b="0"/>
          <wp:docPr id="3" name="Obraz 3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72BAA5F" w14:textId="77777777" w:rsidR="003F0D9E" w:rsidRPr="007858B1" w:rsidRDefault="003F0D9E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14E28"/>
    <w:multiLevelType w:val="hybridMultilevel"/>
    <w:tmpl w:val="0B7E47B0"/>
    <w:lvl w:ilvl="0" w:tplc="0B9C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8D5"/>
    <w:multiLevelType w:val="hybridMultilevel"/>
    <w:tmpl w:val="AB7AE176"/>
    <w:lvl w:ilvl="0" w:tplc="53AA29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0314"/>
    <w:multiLevelType w:val="hybridMultilevel"/>
    <w:tmpl w:val="DC0C78DC"/>
    <w:lvl w:ilvl="0" w:tplc="F24862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E504C"/>
    <w:multiLevelType w:val="hybridMultilevel"/>
    <w:tmpl w:val="C7D49512"/>
    <w:lvl w:ilvl="0" w:tplc="259A04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F2DFB"/>
    <w:multiLevelType w:val="hybridMultilevel"/>
    <w:tmpl w:val="A98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0ACE"/>
    <w:multiLevelType w:val="hybridMultilevel"/>
    <w:tmpl w:val="6FF6B374"/>
    <w:lvl w:ilvl="0" w:tplc="A5F8A626">
      <w:start w:val="1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iernacki">
    <w15:presenceInfo w15:providerId="Windows Live" w15:userId="c7a8d83d935eee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2C4C"/>
    <w:rsid w:val="00005541"/>
    <w:rsid w:val="00006765"/>
    <w:rsid w:val="00023176"/>
    <w:rsid w:val="00026392"/>
    <w:rsid w:val="0003000F"/>
    <w:rsid w:val="00050940"/>
    <w:rsid w:val="00055E7D"/>
    <w:rsid w:val="00060A6B"/>
    <w:rsid w:val="000642FA"/>
    <w:rsid w:val="00070395"/>
    <w:rsid w:val="000821FE"/>
    <w:rsid w:val="000A263D"/>
    <w:rsid w:val="000C341D"/>
    <w:rsid w:val="000D653E"/>
    <w:rsid w:val="000E5226"/>
    <w:rsid w:val="000F0201"/>
    <w:rsid w:val="001000FF"/>
    <w:rsid w:val="00122D1E"/>
    <w:rsid w:val="0012404D"/>
    <w:rsid w:val="00124B17"/>
    <w:rsid w:val="00133746"/>
    <w:rsid w:val="0014576F"/>
    <w:rsid w:val="00150AD2"/>
    <w:rsid w:val="001643B5"/>
    <w:rsid w:val="0016578C"/>
    <w:rsid w:val="00172A67"/>
    <w:rsid w:val="00172FF6"/>
    <w:rsid w:val="001918A5"/>
    <w:rsid w:val="001A4E08"/>
    <w:rsid w:val="001B34CA"/>
    <w:rsid w:val="001D0402"/>
    <w:rsid w:val="001D2DFD"/>
    <w:rsid w:val="001F14D5"/>
    <w:rsid w:val="0021240B"/>
    <w:rsid w:val="00214A7F"/>
    <w:rsid w:val="00220A66"/>
    <w:rsid w:val="0022619A"/>
    <w:rsid w:val="00244B02"/>
    <w:rsid w:val="00245355"/>
    <w:rsid w:val="00247D11"/>
    <w:rsid w:val="002515FF"/>
    <w:rsid w:val="00262876"/>
    <w:rsid w:val="002744ED"/>
    <w:rsid w:val="002831AB"/>
    <w:rsid w:val="00284FD0"/>
    <w:rsid w:val="00287B1B"/>
    <w:rsid w:val="002942A2"/>
    <w:rsid w:val="002973AC"/>
    <w:rsid w:val="002A7D41"/>
    <w:rsid w:val="002B0004"/>
    <w:rsid w:val="002B0413"/>
    <w:rsid w:val="002E375E"/>
    <w:rsid w:val="002E4838"/>
    <w:rsid w:val="002F1F4B"/>
    <w:rsid w:val="00303A05"/>
    <w:rsid w:val="00317B6E"/>
    <w:rsid w:val="003318B4"/>
    <w:rsid w:val="00334B6A"/>
    <w:rsid w:val="00334FB5"/>
    <w:rsid w:val="00344575"/>
    <w:rsid w:val="00346F57"/>
    <w:rsid w:val="003517A2"/>
    <w:rsid w:val="00354E3C"/>
    <w:rsid w:val="00363E52"/>
    <w:rsid w:val="00363FEB"/>
    <w:rsid w:val="003652F4"/>
    <w:rsid w:val="00380E61"/>
    <w:rsid w:val="0038330C"/>
    <w:rsid w:val="003834EF"/>
    <w:rsid w:val="003B030B"/>
    <w:rsid w:val="003B3839"/>
    <w:rsid w:val="003C13EA"/>
    <w:rsid w:val="003E4A26"/>
    <w:rsid w:val="003F0D9E"/>
    <w:rsid w:val="003F23F4"/>
    <w:rsid w:val="00405200"/>
    <w:rsid w:val="00412129"/>
    <w:rsid w:val="00414D20"/>
    <w:rsid w:val="00420D49"/>
    <w:rsid w:val="00430C67"/>
    <w:rsid w:val="00440212"/>
    <w:rsid w:val="004408D7"/>
    <w:rsid w:val="004414C7"/>
    <w:rsid w:val="00454A31"/>
    <w:rsid w:val="0046724A"/>
    <w:rsid w:val="004712E8"/>
    <w:rsid w:val="004724A0"/>
    <w:rsid w:val="00472E4B"/>
    <w:rsid w:val="0048024F"/>
    <w:rsid w:val="00486ABC"/>
    <w:rsid w:val="004A2AF1"/>
    <w:rsid w:val="004C6C4C"/>
    <w:rsid w:val="004E6569"/>
    <w:rsid w:val="004F1F02"/>
    <w:rsid w:val="00507091"/>
    <w:rsid w:val="00511A64"/>
    <w:rsid w:val="00525F44"/>
    <w:rsid w:val="00531831"/>
    <w:rsid w:val="00567F8B"/>
    <w:rsid w:val="005766D8"/>
    <w:rsid w:val="00594221"/>
    <w:rsid w:val="00596088"/>
    <w:rsid w:val="00596591"/>
    <w:rsid w:val="005A16D3"/>
    <w:rsid w:val="005B1722"/>
    <w:rsid w:val="005B4F0D"/>
    <w:rsid w:val="005C2DDD"/>
    <w:rsid w:val="005D3FDC"/>
    <w:rsid w:val="005D4324"/>
    <w:rsid w:val="005E58F2"/>
    <w:rsid w:val="005F1C78"/>
    <w:rsid w:val="005F766A"/>
    <w:rsid w:val="005F792F"/>
    <w:rsid w:val="00601ABA"/>
    <w:rsid w:val="006217BE"/>
    <w:rsid w:val="00637B80"/>
    <w:rsid w:val="00640F6F"/>
    <w:rsid w:val="0064474D"/>
    <w:rsid w:val="00647B12"/>
    <w:rsid w:val="00655997"/>
    <w:rsid w:val="006620FD"/>
    <w:rsid w:val="00664A2A"/>
    <w:rsid w:val="006671BD"/>
    <w:rsid w:val="00673519"/>
    <w:rsid w:val="006761DF"/>
    <w:rsid w:val="006945E8"/>
    <w:rsid w:val="00697D12"/>
    <w:rsid w:val="006A44D3"/>
    <w:rsid w:val="006B7729"/>
    <w:rsid w:val="006C20C0"/>
    <w:rsid w:val="006D1E2F"/>
    <w:rsid w:val="006D4AE3"/>
    <w:rsid w:val="006D7F96"/>
    <w:rsid w:val="006E0C79"/>
    <w:rsid w:val="006E4CD1"/>
    <w:rsid w:val="00711192"/>
    <w:rsid w:val="00725B88"/>
    <w:rsid w:val="007368BE"/>
    <w:rsid w:val="00737684"/>
    <w:rsid w:val="00743F62"/>
    <w:rsid w:val="00750978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3972"/>
    <w:rsid w:val="007C4322"/>
    <w:rsid w:val="007D2789"/>
    <w:rsid w:val="007F64A8"/>
    <w:rsid w:val="00803F08"/>
    <w:rsid w:val="00804521"/>
    <w:rsid w:val="00830F20"/>
    <w:rsid w:val="00836B17"/>
    <w:rsid w:val="008444E8"/>
    <w:rsid w:val="00856D1F"/>
    <w:rsid w:val="00857013"/>
    <w:rsid w:val="00867159"/>
    <w:rsid w:val="0087735F"/>
    <w:rsid w:val="0088267A"/>
    <w:rsid w:val="00885BE9"/>
    <w:rsid w:val="00886627"/>
    <w:rsid w:val="008876E4"/>
    <w:rsid w:val="00891788"/>
    <w:rsid w:val="008A2022"/>
    <w:rsid w:val="008B35AA"/>
    <w:rsid w:val="008D05D8"/>
    <w:rsid w:val="008F1674"/>
    <w:rsid w:val="00901AA3"/>
    <w:rsid w:val="0090404E"/>
    <w:rsid w:val="0093291E"/>
    <w:rsid w:val="00935224"/>
    <w:rsid w:val="00962956"/>
    <w:rsid w:val="00970A3F"/>
    <w:rsid w:val="009925F8"/>
    <w:rsid w:val="00994D9F"/>
    <w:rsid w:val="00996385"/>
    <w:rsid w:val="009B44EA"/>
    <w:rsid w:val="009C2540"/>
    <w:rsid w:val="009C6B0C"/>
    <w:rsid w:val="009D2D2C"/>
    <w:rsid w:val="009D671D"/>
    <w:rsid w:val="009E522C"/>
    <w:rsid w:val="009E64B9"/>
    <w:rsid w:val="009F15B8"/>
    <w:rsid w:val="00A00411"/>
    <w:rsid w:val="00A060DB"/>
    <w:rsid w:val="00A12419"/>
    <w:rsid w:val="00A2277F"/>
    <w:rsid w:val="00A274FD"/>
    <w:rsid w:val="00A55F77"/>
    <w:rsid w:val="00A61598"/>
    <w:rsid w:val="00A6643A"/>
    <w:rsid w:val="00A83E2A"/>
    <w:rsid w:val="00A8510E"/>
    <w:rsid w:val="00A94CB5"/>
    <w:rsid w:val="00A955BD"/>
    <w:rsid w:val="00A963AF"/>
    <w:rsid w:val="00AC3A6A"/>
    <w:rsid w:val="00AD031A"/>
    <w:rsid w:val="00AD3614"/>
    <w:rsid w:val="00AD664A"/>
    <w:rsid w:val="00AE2DD1"/>
    <w:rsid w:val="00AE406B"/>
    <w:rsid w:val="00AE457F"/>
    <w:rsid w:val="00B045AF"/>
    <w:rsid w:val="00B04E7C"/>
    <w:rsid w:val="00B15E8C"/>
    <w:rsid w:val="00B20D15"/>
    <w:rsid w:val="00B30281"/>
    <w:rsid w:val="00B31868"/>
    <w:rsid w:val="00B31B34"/>
    <w:rsid w:val="00B40872"/>
    <w:rsid w:val="00B4241E"/>
    <w:rsid w:val="00B43CB9"/>
    <w:rsid w:val="00B46CB4"/>
    <w:rsid w:val="00B46DE4"/>
    <w:rsid w:val="00B51075"/>
    <w:rsid w:val="00B553DE"/>
    <w:rsid w:val="00B77EA1"/>
    <w:rsid w:val="00B80BCB"/>
    <w:rsid w:val="00B923AF"/>
    <w:rsid w:val="00B93267"/>
    <w:rsid w:val="00BC2BDA"/>
    <w:rsid w:val="00BD219D"/>
    <w:rsid w:val="00BE3CB3"/>
    <w:rsid w:val="00BE580E"/>
    <w:rsid w:val="00BF7031"/>
    <w:rsid w:val="00C02204"/>
    <w:rsid w:val="00C04E6F"/>
    <w:rsid w:val="00C0632A"/>
    <w:rsid w:val="00C10C96"/>
    <w:rsid w:val="00C1627A"/>
    <w:rsid w:val="00C24EDF"/>
    <w:rsid w:val="00C371F3"/>
    <w:rsid w:val="00C42EBB"/>
    <w:rsid w:val="00C44584"/>
    <w:rsid w:val="00C50C4C"/>
    <w:rsid w:val="00C55A35"/>
    <w:rsid w:val="00C73B48"/>
    <w:rsid w:val="00C76AEB"/>
    <w:rsid w:val="00C82426"/>
    <w:rsid w:val="00C874B7"/>
    <w:rsid w:val="00C90555"/>
    <w:rsid w:val="00CA05D4"/>
    <w:rsid w:val="00CA1313"/>
    <w:rsid w:val="00CA4987"/>
    <w:rsid w:val="00CA5924"/>
    <w:rsid w:val="00CD1F4A"/>
    <w:rsid w:val="00CD36E9"/>
    <w:rsid w:val="00CE1E6B"/>
    <w:rsid w:val="00CE3245"/>
    <w:rsid w:val="00CE539E"/>
    <w:rsid w:val="00CF43E2"/>
    <w:rsid w:val="00CF47ED"/>
    <w:rsid w:val="00D004F3"/>
    <w:rsid w:val="00D04ABE"/>
    <w:rsid w:val="00D06072"/>
    <w:rsid w:val="00D2390D"/>
    <w:rsid w:val="00D34946"/>
    <w:rsid w:val="00D35A70"/>
    <w:rsid w:val="00D363D5"/>
    <w:rsid w:val="00D4158A"/>
    <w:rsid w:val="00D444D8"/>
    <w:rsid w:val="00D47BF0"/>
    <w:rsid w:val="00D567A2"/>
    <w:rsid w:val="00D5748E"/>
    <w:rsid w:val="00D72FA5"/>
    <w:rsid w:val="00D849C6"/>
    <w:rsid w:val="00DA0BF5"/>
    <w:rsid w:val="00DF5F51"/>
    <w:rsid w:val="00E0770E"/>
    <w:rsid w:val="00E11BC2"/>
    <w:rsid w:val="00E13174"/>
    <w:rsid w:val="00E14827"/>
    <w:rsid w:val="00E2706C"/>
    <w:rsid w:val="00E93A15"/>
    <w:rsid w:val="00E95E8B"/>
    <w:rsid w:val="00E9773A"/>
    <w:rsid w:val="00EE36C2"/>
    <w:rsid w:val="00F1031D"/>
    <w:rsid w:val="00F13299"/>
    <w:rsid w:val="00F27D7F"/>
    <w:rsid w:val="00F47E53"/>
    <w:rsid w:val="00F5484C"/>
    <w:rsid w:val="00F56DF0"/>
    <w:rsid w:val="00F72541"/>
    <w:rsid w:val="00F74579"/>
    <w:rsid w:val="00F80D35"/>
    <w:rsid w:val="00F977BC"/>
    <w:rsid w:val="00FA3B0E"/>
    <w:rsid w:val="00FA7714"/>
    <w:rsid w:val="00FB3957"/>
    <w:rsid w:val="00FB40A0"/>
    <w:rsid w:val="00FB5B48"/>
    <w:rsid w:val="00FC2588"/>
    <w:rsid w:val="00FC35CC"/>
    <w:rsid w:val="00FD155D"/>
    <w:rsid w:val="00FD22F2"/>
    <w:rsid w:val="00FD3C5C"/>
    <w:rsid w:val="00FD451E"/>
    <w:rsid w:val="00FD5415"/>
    <w:rsid w:val="00FE68CA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82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styleId="Wyrnienie">
    <w:name w:val="Emphasis"/>
    <w:basedOn w:val="Domylnaczcionkaakapitu"/>
    <w:uiPriority w:val="20"/>
    <w:qFormat/>
    <w:rsid w:val="007958A8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D664A"/>
  </w:style>
  <w:style w:type="character" w:styleId="Odwoaniedokomentarza">
    <w:name w:val="annotation reference"/>
    <w:basedOn w:val="Domylnaczcionkaakapitu"/>
    <w:uiPriority w:val="99"/>
    <w:semiHidden/>
    <w:unhideWhenUsed/>
    <w:rsid w:val="00697D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D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D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D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D12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7F96"/>
    <w:pPr>
      <w:jc w:val="both"/>
    </w:pPr>
    <w:rPr>
      <w:rFonts w:asciiTheme="minorHAnsi" w:eastAsiaTheme="minorHAnsi" w:hAnsiTheme="minorHAnsi" w:cstheme="minorBidi"/>
      <w:color w:val="1F497D" w:themeColor="text2"/>
      <w:sz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F96"/>
    <w:rPr>
      <w:rFonts w:asciiTheme="minorHAnsi" w:eastAsiaTheme="minorHAnsi" w:hAnsiTheme="minorHAnsi" w:cstheme="minorBidi"/>
      <w:color w:val="1F497D" w:themeColor="text2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styleId="Wyrnienie">
    <w:name w:val="Emphasis"/>
    <w:basedOn w:val="Domylnaczcionkaakapitu"/>
    <w:uiPriority w:val="20"/>
    <w:qFormat/>
    <w:rsid w:val="007958A8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D664A"/>
  </w:style>
  <w:style w:type="character" w:styleId="Odwoaniedokomentarza">
    <w:name w:val="annotation reference"/>
    <w:basedOn w:val="Domylnaczcionkaakapitu"/>
    <w:uiPriority w:val="99"/>
    <w:semiHidden/>
    <w:unhideWhenUsed/>
    <w:rsid w:val="00697D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D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D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D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D12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7F96"/>
    <w:pPr>
      <w:jc w:val="both"/>
    </w:pPr>
    <w:rPr>
      <w:rFonts w:asciiTheme="minorHAnsi" w:eastAsiaTheme="minorHAnsi" w:hAnsiTheme="minorHAnsi" w:cstheme="minorBidi"/>
      <w:color w:val="1F497D" w:themeColor="text2"/>
      <w:sz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7F96"/>
    <w:rPr>
      <w:rFonts w:asciiTheme="minorHAnsi" w:eastAsiaTheme="minorHAnsi" w:hAnsiTheme="minorHAnsi" w:cstheme="minorBidi"/>
      <w:color w:val="1F497D" w:themeColor="text2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lacje@lug.com.pl" TargetMode="External"/><Relationship Id="rId12" Type="http://schemas.openxmlformats.org/officeDocument/2006/relationships/hyperlink" Target="mailto:kamila.zyzkowska@intouchpr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ug.com.pl" TargetMode="External"/><Relationship Id="rId10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C888-38D5-AE42-B050-22F7618A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1182</Words>
  <Characters>7093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8259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Kamila Górczyńska-Żyżkowska</cp:lastModifiedBy>
  <cp:revision>3</cp:revision>
  <cp:lastPrinted>2017-08-08T18:39:00Z</cp:lastPrinted>
  <dcterms:created xsi:type="dcterms:W3CDTF">2017-08-08T19:44:00Z</dcterms:created>
  <dcterms:modified xsi:type="dcterms:W3CDTF">2017-08-09T09:37:00Z</dcterms:modified>
</cp:coreProperties>
</file>