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90D" w:rsidRDefault="00D2390D" w:rsidP="00D2390D">
      <w:pPr>
        <w:pStyle w:val="Nagwek1"/>
        <w:spacing w:before="120"/>
        <w:jc w:val="right"/>
        <w:rPr>
          <w:rFonts w:ascii="Calibri" w:hAnsi="Calibri" w:cs="Tahoma"/>
          <w:color w:val="404040"/>
        </w:rPr>
      </w:pPr>
      <w:r>
        <w:rPr>
          <w:rFonts w:ascii="Calibri" w:hAnsi="Calibri" w:cs="Tahoma"/>
          <w:color w:val="404040"/>
        </w:rPr>
        <w:t>Informacja prasowa</w:t>
      </w:r>
    </w:p>
    <w:p w:rsidR="005B1722" w:rsidRDefault="00C73B48" w:rsidP="00DF5F51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15</w:t>
      </w:r>
      <w:r w:rsidR="00DF5F51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02</w:t>
      </w:r>
      <w:r w:rsidR="00DF5F51">
        <w:rPr>
          <w:rFonts w:ascii="Calibri" w:hAnsi="Calibri"/>
          <w:sz w:val="22"/>
          <w:szCs w:val="22"/>
        </w:rPr>
        <w:t>.201</w:t>
      </w:r>
      <w:r>
        <w:rPr>
          <w:rFonts w:ascii="Calibri" w:hAnsi="Calibri"/>
          <w:sz w:val="22"/>
          <w:szCs w:val="22"/>
        </w:rPr>
        <w:t>7</w:t>
      </w:r>
      <w:r w:rsidR="00DF5F51">
        <w:rPr>
          <w:rFonts w:ascii="Calibri" w:hAnsi="Calibri"/>
          <w:sz w:val="22"/>
          <w:szCs w:val="22"/>
        </w:rPr>
        <w:t>r.</w:t>
      </w:r>
    </w:p>
    <w:p w:rsidR="00DF5F51" w:rsidRPr="00E95E8B" w:rsidRDefault="00DF5F51" w:rsidP="00DF5F51">
      <w:pPr>
        <w:jc w:val="right"/>
        <w:rPr>
          <w:rFonts w:ascii="Calibri" w:hAnsi="Calibri"/>
          <w:sz w:val="10"/>
          <w:szCs w:val="22"/>
        </w:rPr>
      </w:pPr>
    </w:p>
    <w:p w:rsidR="00DF5F51" w:rsidRPr="00E95E8B" w:rsidRDefault="00DF5F51" w:rsidP="00DF5F51">
      <w:pPr>
        <w:jc w:val="right"/>
        <w:rPr>
          <w:rFonts w:ascii="Calibri" w:hAnsi="Calibri"/>
          <w:sz w:val="10"/>
          <w:szCs w:val="22"/>
        </w:rPr>
      </w:pPr>
    </w:p>
    <w:p w:rsidR="00E2706C" w:rsidRPr="00E2706C" w:rsidRDefault="00E2706C" w:rsidP="00DF5F51">
      <w:pPr>
        <w:jc w:val="right"/>
        <w:rPr>
          <w:rFonts w:ascii="Calibri" w:hAnsi="Calibri"/>
          <w:szCs w:val="22"/>
        </w:rPr>
      </w:pPr>
    </w:p>
    <w:p w:rsidR="00DF5F51" w:rsidRPr="00AD3614" w:rsidRDefault="006C20C0" w:rsidP="00DF5F51">
      <w:pPr>
        <w:rPr>
          <w:rFonts w:ascii="Calibri" w:hAnsi="Calibri"/>
          <w:color w:val="595959" w:themeColor="text1" w:themeTint="A6"/>
          <w:sz w:val="28"/>
          <w:szCs w:val="28"/>
        </w:rPr>
      </w:pPr>
      <w:r w:rsidRPr="00AD3614">
        <w:rPr>
          <w:rFonts w:ascii="Calibri" w:hAnsi="Calibri"/>
          <w:color w:val="595959" w:themeColor="text1" w:themeTint="A6"/>
          <w:sz w:val="28"/>
          <w:szCs w:val="28"/>
        </w:rPr>
        <w:t xml:space="preserve">Wyniki </w:t>
      </w:r>
      <w:r w:rsidR="00247D11" w:rsidRPr="00AD3614">
        <w:rPr>
          <w:rFonts w:ascii="Calibri" w:hAnsi="Calibri"/>
          <w:color w:val="595959" w:themeColor="text1" w:themeTint="A6"/>
          <w:sz w:val="28"/>
          <w:szCs w:val="28"/>
        </w:rPr>
        <w:t>Grup</w:t>
      </w:r>
      <w:r w:rsidRPr="00AD3614">
        <w:rPr>
          <w:rFonts w:ascii="Calibri" w:hAnsi="Calibri"/>
          <w:color w:val="595959" w:themeColor="text1" w:themeTint="A6"/>
          <w:sz w:val="28"/>
          <w:szCs w:val="28"/>
        </w:rPr>
        <w:t>y</w:t>
      </w:r>
      <w:r w:rsidR="00247D11" w:rsidRPr="00AD3614">
        <w:rPr>
          <w:rFonts w:ascii="Calibri" w:hAnsi="Calibri"/>
          <w:color w:val="595959" w:themeColor="text1" w:themeTint="A6"/>
          <w:sz w:val="28"/>
          <w:szCs w:val="28"/>
        </w:rPr>
        <w:t xml:space="preserve"> Kapitałow</w:t>
      </w:r>
      <w:r w:rsidRPr="00AD3614">
        <w:rPr>
          <w:rFonts w:ascii="Calibri" w:hAnsi="Calibri"/>
          <w:color w:val="595959" w:themeColor="text1" w:themeTint="A6"/>
          <w:sz w:val="28"/>
          <w:szCs w:val="28"/>
        </w:rPr>
        <w:t>ej</w:t>
      </w:r>
      <w:r w:rsidR="00247D11" w:rsidRPr="00AD3614">
        <w:rPr>
          <w:rFonts w:ascii="Calibri" w:hAnsi="Calibri"/>
          <w:color w:val="595959" w:themeColor="text1" w:themeTint="A6"/>
          <w:sz w:val="28"/>
          <w:szCs w:val="28"/>
        </w:rPr>
        <w:t xml:space="preserve"> LUG S.A.</w:t>
      </w:r>
      <w:r w:rsidRPr="00AD3614">
        <w:rPr>
          <w:rFonts w:ascii="Calibri" w:hAnsi="Calibri"/>
          <w:color w:val="595959" w:themeColor="text1" w:themeTint="A6"/>
          <w:sz w:val="28"/>
          <w:szCs w:val="28"/>
        </w:rPr>
        <w:t xml:space="preserve"> za </w:t>
      </w:r>
      <w:r w:rsidR="00C73B48">
        <w:rPr>
          <w:rFonts w:ascii="Calibri" w:hAnsi="Calibri"/>
          <w:color w:val="595959" w:themeColor="text1" w:themeTint="A6"/>
          <w:sz w:val="28"/>
          <w:szCs w:val="28"/>
        </w:rPr>
        <w:t>4</w:t>
      </w:r>
      <w:r w:rsidR="00244B02">
        <w:rPr>
          <w:rFonts w:ascii="Calibri" w:hAnsi="Calibri"/>
          <w:color w:val="595959" w:themeColor="text1" w:themeTint="A6"/>
          <w:sz w:val="28"/>
          <w:szCs w:val="28"/>
        </w:rPr>
        <w:t>Q’</w:t>
      </w:r>
      <w:r w:rsidRPr="00AD3614">
        <w:rPr>
          <w:rFonts w:ascii="Calibri" w:hAnsi="Calibri"/>
          <w:color w:val="595959" w:themeColor="text1" w:themeTint="A6"/>
          <w:sz w:val="28"/>
          <w:szCs w:val="28"/>
        </w:rPr>
        <w:t>201</w:t>
      </w:r>
      <w:r w:rsidR="00244B02">
        <w:rPr>
          <w:rFonts w:ascii="Calibri" w:hAnsi="Calibri"/>
          <w:color w:val="595959" w:themeColor="text1" w:themeTint="A6"/>
          <w:sz w:val="28"/>
          <w:szCs w:val="28"/>
        </w:rPr>
        <w:t>6</w:t>
      </w:r>
      <w:r w:rsidRPr="00AD3614">
        <w:rPr>
          <w:rFonts w:ascii="Calibri" w:hAnsi="Calibri"/>
          <w:color w:val="595959" w:themeColor="text1" w:themeTint="A6"/>
          <w:sz w:val="28"/>
          <w:szCs w:val="28"/>
        </w:rPr>
        <w:t xml:space="preserve"> rok</w:t>
      </w:r>
      <w:r w:rsidR="00247D11" w:rsidRPr="00AD3614">
        <w:rPr>
          <w:rFonts w:ascii="Calibri" w:hAnsi="Calibri"/>
          <w:color w:val="595959" w:themeColor="text1" w:themeTint="A6"/>
          <w:sz w:val="28"/>
          <w:szCs w:val="28"/>
        </w:rPr>
        <w:t xml:space="preserve">: </w:t>
      </w:r>
    </w:p>
    <w:p w:rsidR="00247D11" w:rsidRPr="00AD3614" w:rsidRDefault="00640F6F" w:rsidP="006E4CD1">
      <w:pPr>
        <w:rPr>
          <w:rFonts w:ascii="Calibri" w:hAnsi="Calibri"/>
          <w:b/>
          <w:sz w:val="34"/>
          <w:szCs w:val="34"/>
        </w:rPr>
      </w:pPr>
      <w:r>
        <w:rPr>
          <w:rFonts w:ascii="Calibri" w:hAnsi="Calibri"/>
          <w:b/>
          <w:sz w:val="34"/>
          <w:szCs w:val="34"/>
        </w:rPr>
        <w:t xml:space="preserve">LUG </w:t>
      </w:r>
      <w:r w:rsidR="00C73B48">
        <w:rPr>
          <w:rFonts w:ascii="Calibri" w:hAnsi="Calibri"/>
          <w:b/>
          <w:sz w:val="34"/>
          <w:szCs w:val="34"/>
        </w:rPr>
        <w:t>osiąga rekordowe przychody w 2016 roku</w:t>
      </w:r>
      <w:r w:rsidR="0016578C">
        <w:rPr>
          <w:rFonts w:ascii="Calibri" w:hAnsi="Calibri"/>
          <w:b/>
          <w:sz w:val="34"/>
          <w:szCs w:val="34"/>
        </w:rPr>
        <w:t xml:space="preserve"> </w:t>
      </w:r>
    </w:p>
    <w:p w:rsidR="00FD5415" w:rsidRDefault="00FD5415" w:rsidP="00DF5F51">
      <w:pPr>
        <w:rPr>
          <w:rFonts w:ascii="Calibri" w:hAnsi="Calibri"/>
          <w:b/>
          <w:noProof/>
          <w:sz w:val="28"/>
          <w:szCs w:val="22"/>
        </w:rPr>
      </w:pPr>
    </w:p>
    <w:p w:rsidR="00247D11" w:rsidRDefault="00247D11" w:rsidP="00DF5F51">
      <w:pPr>
        <w:rPr>
          <w:rFonts w:ascii="Calibri" w:hAnsi="Calibri"/>
          <w:b/>
          <w:noProof/>
          <w:sz w:val="28"/>
          <w:szCs w:val="22"/>
        </w:rPr>
      </w:pPr>
    </w:p>
    <w:p w:rsidR="00247D11" w:rsidRPr="007B2AD5" w:rsidRDefault="00247D11" w:rsidP="00B4241E">
      <w:pPr>
        <w:jc w:val="both"/>
        <w:rPr>
          <w:rFonts w:ascii="Calibri" w:hAnsi="Calibri"/>
          <w:noProof/>
          <w:sz w:val="22"/>
          <w:szCs w:val="22"/>
        </w:rPr>
      </w:pPr>
      <w:r w:rsidRPr="007B2AD5">
        <w:rPr>
          <w:rFonts w:ascii="Calibri" w:hAnsi="Calibri"/>
          <w:noProof/>
          <w:sz w:val="22"/>
          <w:szCs w:val="22"/>
        </w:rPr>
        <w:t xml:space="preserve">Zielona Góra – Grupa Kapitałowa LUG S.A. (NewConnect: LUG) opublikowała </w:t>
      </w:r>
      <w:r w:rsidR="006C20C0">
        <w:rPr>
          <w:rFonts w:ascii="Calibri" w:hAnsi="Calibri"/>
          <w:noProof/>
          <w:sz w:val="22"/>
          <w:szCs w:val="22"/>
        </w:rPr>
        <w:t xml:space="preserve">skonsolidowany raport </w:t>
      </w:r>
      <w:r w:rsidR="00244B02">
        <w:rPr>
          <w:rFonts w:ascii="Calibri" w:hAnsi="Calibri"/>
          <w:noProof/>
          <w:sz w:val="22"/>
          <w:szCs w:val="22"/>
        </w:rPr>
        <w:t>Grupy Kapitałowej LUG S.A.</w:t>
      </w:r>
      <w:r w:rsidR="006C20C0">
        <w:rPr>
          <w:rFonts w:ascii="Calibri" w:hAnsi="Calibri"/>
          <w:noProof/>
          <w:sz w:val="22"/>
          <w:szCs w:val="22"/>
        </w:rPr>
        <w:t xml:space="preserve"> za</w:t>
      </w:r>
      <w:r w:rsidR="00640F6F">
        <w:rPr>
          <w:rFonts w:ascii="Calibri" w:hAnsi="Calibri"/>
          <w:noProof/>
          <w:sz w:val="22"/>
          <w:szCs w:val="22"/>
        </w:rPr>
        <w:t xml:space="preserve"> </w:t>
      </w:r>
      <w:r w:rsidR="00C73B48">
        <w:rPr>
          <w:rFonts w:ascii="Calibri" w:hAnsi="Calibri"/>
          <w:noProof/>
          <w:sz w:val="22"/>
          <w:szCs w:val="22"/>
        </w:rPr>
        <w:t>4</w:t>
      </w:r>
      <w:r w:rsidR="00244B02">
        <w:rPr>
          <w:rFonts w:ascii="Calibri" w:hAnsi="Calibri"/>
          <w:noProof/>
          <w:sz w:val="22"/>
          <w:szCs w:val="22"/>
        </w:rPr>
        <w:t>Q’</w:t>
      </w:r>
      <w:r w:rsidR="006C20C0">
        <w:rPr>
          <w:rFonts w:ascii="Calibri" w:hAnsi="Calibri"/>
          <w:noProof/>
          <w:sz w:val="22"/>
          <w:szCs w:val="22"/>
        </w:rPr>
        <w:t>201</w:t>
      </w:r>
      <w:r w:rsidR="00244B02">
        <w:rPr>
          <w:rFonts w:ascii="Calibri" w:hAnsi="Calibri"/>
          <w:noProof/>
          <w:sz w:val="22"/>
          <w:szCs w:val="22"/>
        </w:rPr>
        <w:t>6</w:t>
      </w:r>
      <w:r w:rsidR="006C20C0">
        <w:rPr>
          <w:rFonts w:ascii="Calibri" w:hAnsi="Calibri"/>
          <w:noProof/>
          <w:sz w:val="22"/>
          <w:szCs w:val="22"/>
        </w:rPr>
        <w:t xml:space="preserve"> rok</w:t>
      </w:r>
      <w:r w:rsidR="00C73B48">
        <w:rPr>
          <w:rFonts w:ascii="Calibri" w:hAnsi="Calibri"/>
          <w:noProof/>
          <w:sz w:val="22"/>
          <w:szCs w:val="22"/>
        </w:rPr>
        <w:t>, w którym prezentuje wyniki za ostatni kwartał i za cały 2016 rok</w:t>
      </w:r>
      <w:r w:rsidRPr="007B2AD5">
        <w:rPr>
          <w:rFonts w:ascii="Calibri" w:hAnsi="Calibri"/>
          <w:noProof/>
          <w:sz w:val="22"/>
          <w:szCs w:val="22"/>
        </w:rPr>
        <w:t>:</w:t>
      </w:r>
    </w:p>
    <w:p w:rsidR="00247D11" w:rsidRPr="007B2AD5" w:rsidRDefault="00247D11" w:rsidP="00DF5F51">
      <w:pPr>
        <w:rPr>
          <w:rFonts w:ascii="Calibri" w:hAnsi="Calibri"/>
          <w:noProof/>
          <w:sz w:val="22"/>
          <w:szCs w:val="22"/>
        </w:rPr>
      </w:pPr>
    </w:p>
    <w:p w:rsidR="00D34946" w:rsidRPr="00B045AF" w:rsidRDefault="00D34946" w:rsidP="00B045AF">
      <w:pPr>
        <w:pStyle w:val="Akapitzlist"/>
        <w:numPr>
          <w:ilvl w:val="0"/>
          <w:numId w:val="3"/>
        </w:numPr>
        <w:spacing w:after="0"/>
        <w:ind w:left="567"/>
        <w:jc w:val="both"/>
      </w:pPr>
      <w:r w:rsidRPr="00B045AF">
        <w:rPr>
          <w:b/>
        </w:rPr>
        <w:t>skonsolidowane przychody ze sprzedaży</w:t>
      </w:r>
      <w:r w:rsidRPr="00B045AF">
        <w:t xml:space="preserve"> </w:t>
      </w:r>
      <w:r w:rsidR="006C20C0" w:rsidRPr="00B045AF">
        <w:rPr>
          <w:b/>
        </w:rPr>
        <w:t xml:space="preserve">za </w:t>
      </w:r>
      <w:r w:rsidR="00B4241E">
        <w:rPr>
          <w:b/>
        </w:rPr>
        <w:t>4</w:t>
      </w:r>
      <w:r w:rsidR="00244B02" w:rsidRPr="00B045AF">
        <w:rPr>
          <w:b/>
        </w:rPr>
        <w:t>Q’</w:t>
      </w:r>
      <w:r w:rsidR="006C20C0" w:rsidRPr="00B045AF">
        <w:rPr>
          <w:b/>
        </w:rPr>
        <w:t>201</w:t>
      </w:r>
      <w:r w:rsidR="00244B02" w:rsidRPr="00B045AF">
        <w:rPr>
          <w:b/>
        </w:rPr>
        <w:t>6</w:t>
      </w:r>
      <w:r w:rsidR="006C20C0" w:rsidRPr="00B045AF">
        <w:rPr>
          <w:b/>
        </w:rPr>
        <w:t xml:space="preserve"> rok</w:t>
      </w:r>
      <w:r w:rsidR="00244B02" w:rsidRPr="00B045AF">
        <w:rPr>
          <w:b/>
        </w:rPr>
        <w:t>u</w:t>
      </w:r>
      <w:r w:rsidRPr="00B045AF">
        <w:t xml:space="preserve"> wyniosły </w:t>
      </w:r>
      <w:r w:rsidR="00B4241E">
        <w:t>35 297,74</w:t>
      </w:r>
      <w:r w:rsidR="006C20C0" w:rsidRPr="00B045AF">
        <w:t xml:space="preserve"> </w:t>
      </w:r>
      <w:r w:rsidRPr="00B045AF">
        <w:t xml:space="preserve">tys. zł, </w:t>
      </w:r>
      <w:r w:rsidR="00640F6F" w:rsidRPr="00B045AF">
        <w:t>wzrost</w:t>
      </w:r>
      <w:r w:rsidRPr="00B045AF">
        <w:t xml:space="preserve"> o </w:t>
      </w:r>
      <w:r w:rsidR="00B4241E">
        <w:t>12,40</w:t>
      </w:r>
      <w:r w:rsidRPr="00B045AF">
        <w:t xml:space="preserve">% </w:t>
      </w:r>
      <w:r w:rsidR="00C02204" w:rsidRPr="00B045AF">
        <w:t>r/r</w:t>
      </w:r>
      <w:r w:rsidRPr="00B045AF">
        <w:t xml:space="preserve">; </w:t>
      </w:r>
    </w:p>
    <w:p w:rsidR="00640F6F" w:rsidRPr="00B045AF" w:rsidRDefault="00640F6F" w:rsidP="00B045AF">
      <w:pPr>
        <w:pStyle w:val="Akapitzlist"/>
        <w:numPr>
          <w:ilvl w:val="0"/>
          <w:numId w:val="3"/>
        </w:numPr>
        <w:spacing w:after="0"/>
        <w:ind w:left="567"/>
        <w:jc w:val="both"/>
      </w:pPr>
      <w:r w:rsidRPr="00B045AF">
        <w:rPr>
          <w:b/>
        </w:rPr>
        <w:t xml:space="preserve">skonsolidowane przychody ze sprzedaży za </w:t>
      </w:r>
      <w:r w:rsidR="0016578C" w:rsidRPr="00B045AF">
        <w:rPr>
          <w:b/>
        </w:rPr>
        <w:t>I-I</w:t>
      </w:r>
      <w:r w:rsidR="00B4241E">
        <w:rPr>
          <w:b/>
        </w:rPr>
        <w:t>V</w:t>
      </w:r>
      <w:r w:rsidR="0016578C" w:rsidRPr="00B045AF">
        <w:rPr>
          <w:b/>
        </w:rPr>
        <w:t xml:space="preserve"> kwartał</w:t>
      </w:r>
      <w:r w:rsidRPr="00B045AF">
        <w:rPr>
          <w:b/>
        </w:rPr>
        <w:t xml:space="preserve"> 2016 roku </w:t>
      </w:r>
      <w:r w:rsidRPr="00B045AF">
        <w:t xml:space="preserve">wyniosły </w:t>
      </w:r>
      <w:r w:rsidR="00B4241E">
        <w:t>121 880,18</w:t>
      </w:r>
      <w:r w:rsidRPr="00B045AF">
        <w:t xml:space="preserve"> tys. zł,</w:t>
      </w:r>
      <w:r w:rsidRPr="00B045AF">
        <w:rPr>
          <w:b/>
        </w:rPr>
        <w:t xml:space="preserve"> </w:t>
      </w:r>
      <w:r w:rsidR="00B045AF" w:rsidRPr="00B045AF">
        <w:t xml:space="preserve">wzrost </w:t>
      </w:r>
      <w:r w:rsidR="00B4241E">
        <w:t>o 11,22</w:t>
      </w:r>
      <w:r w:rsidRPr="00B045AF">
        <w:t>% r/r</w:t>
      </w:r>
      <w:r w:rsidR="0016578C" w:rsidRPr="00B045AF">
        <w:t>;</w:t>
      </w:r>
    </w:p>
    <w:p w:rsidR="00640F6F" w:rsidRPr="00B045AF" w:rsidRDefault="00640F6F" w:rsidP="00B045AF">
      <w:pPr>
        <w:pStyle w:val="Akapitzlist"/>
        <w:numPr>
          <w:ilvl w:val="0"/>
          <w:numId w:val="3"/>
        </w:numPr>
        <w:ind w:left="567"/>
        <w:rPr>
          <w:noProof/>
        </w:rPr>
      </w:pPr>
      <w:r w:rsidRPr="00B045AF">
        <w:rPr>
          <w:b/>
        </w:rPr>
        <w:t xml:space="preserve">struktura przychodów ze sprzedaży </w:t>
      </w:r>
      <w:r w:rsidR="00B4241E">
        <w:rPr>
          <w:b/>
        </w:rPr>
        <w:t>za I-IV</w:t>
      </w:r>
      <w:r w:rsidR="0016578C" w:rsidRPr="00B045AF">
        <w:rPr>
          <w:b/>
        </w:rPr>
        <w:t xml:space="preserve"> kwartał</w:t>
      </w:r>
      <w:r w:rsidRPr="00B045AF">
        <w:rPr>
          <w:b/>
        </w:rPr>
        <w:t xml:space="preserve"> 2016 roku </w:t>
      </w:r>
      <w:r w:rsidRPr="00B045AF">
        <w:t xml:space="preserve">wynosiła: </w:t>
      </w:r>
      <w:r w:rsidR="00B4241E">
        <w:t>47</w:t>
      </w:r>
      <w:r w:rsidRPr="00B045AF">
        <w:t xml:space="preserve">% - kraj, </w:t>
      </w:r>
      <w:r w:rsidR="00B4241E">
        <w:t>53</w:t>
      </w:r>
      <w:r w:rsidRPr="00B045AF">
        <w:t>% - eksport;</w:t>
      </w:r>
    </w:p>
    <w:p w:rsidR="00640F6F" w:rsidRPr="00B045AF" w:rsidRDefault="00640F6F" w:rsidP="00B045AF">
      <w:pPr>
        <w:pStyle w:val="Akapitzlist"/>
        <w:numPr>
          <w:ilvl w:val="0"/>
          <w:numId w:val="3"/>
        </w:numPr>
        <w:ind w:left="567"/>
        <w:rPr>
          <w:noProof/>
        </w:rPr>
      </w:pPr>
      <w:r w:rsidRPr="00B045AF">
        <w:rPr>
          <w:b/>
          <w:noProof/>
        </w:rPr>
        <w:t xml:space="preserve">dynamika przychodów w </w:t>
      </w:r>
      <w:r w:rsidR="00B4241E">
        <w:rPr>
          <w:b/>
          <w:noProof/>
        </w:rPr>
        <w:t>4</w:t>
      </w:r>
      <w:r w:rsidRPr="00B045AF">
        <w:rPr>
          <w:b/>
          <w:noProof/>
        </w:rPr>
        <w:t>Q’2016 roku</w:t>
      </w:r>
      <w:r w:rsidRPr="00B045AF">
        <w:rPr>
          <w:noProof/>
        </w:rPr>
        <w:t>: kraj +</w:t>
      </w:r>
      <w:r w:rsidR="00B4241E">
        <w:rPr>
          <w:noProof/>
        </w:rPr>
        <w:t>6,18</w:t>
      </w:r>
      <w:r w:rsidRPr="00B045AF">
        <w:rPr>
          <w:noProof/>
        </w:rPr>
        <w:t>%, eksport +</w:t>
      </w:r>
      <w:r w:rsidR="00B4241E">
        <w:rPr>
          <w:noProof/>
        </w:rPr>
        <w:t>18,75</w:t>
      </w:r>
      <w:r w:rsidRPr="00B045AF">
        <w:rPr>
          <w:noProof/>
        </w:rPr>
        <w:t>%;</w:t>
      </w:r>
    </w:p>
    <w:p w:rsidR="00244B02" w:rsidRPr="00B045AF" w:rsidRDefault="00244B02" w:rsidP="00B045AF">
      <w:pPr>
        <w:pStyle w:val="Akapitzlist"/>
        <w:numPr>
          <w:ilvl w:val="0"/>
          <w:numId w:val="3"/>
        </w:numPr>
        <w:ind w:left="567"/>
        <w:rPr>
          <w:noProof/>
        </w:rPr>
      </w:pPr>
      <w:r w:rsidRPr="00B045AF">
        <w:rPr>
          <w:b/>
          <w:noProof/>
        </w:rPr>
        <w:t xml:space="preserve">marża na sprzedaży brutto w </w:t>
      </w:r>
      <w:r w:rsidR="00B4241E">
        <w:rPr>
          <w:b/>
          <w:noProof/>
        </w:rPr>
        <w:t>4</w:t>
      </w:r>
      <w:r w:rsidRPr="00B045AF">
        <w:rPr>
          <w:b/>
          <w:noProof/>
        </w:rPr>
        <w:t xml:space="preserve">Q’2016 roku </w:t>
      </w:r>
      <w:r w:rsidRPr="00B045AF">
        <w:rPr>
          <w:noProof/>
        </w:rPr>
        <w:t xml:space="preserve">wynosiła </w:t>
      </w:r>
      <w:r w:rsidR="00AC3A6A">
        <w:rPr>
          <w:noProof/>
        </w:rPr>
        <w:t>42,10</w:t>
      </w:r>
      <w:r w:rsidRPr="00B045AF">
        <w:rPr>
          <w:noProof/>
        </w:rPr>
        <w:t xml:space="preserve">% wobec </w:t>
      </w:r>
      <w:r w:rsidR="00AC3A6A">
        <w:rPr>
          <w:noProof/>
        </w:rPr>
        <w:t>41,06</w:t>
      </w:r>
      <w:r w:rsidRPr="00B045AF">
        <w:rPr>
          <w:noProof/>
        </w:rPr>
        <w:t>% przed rokiem;</w:t>
      </w:r>
    </w:p>
    <w:p w:rsidR="00244B02" w:rsidRPr="00B045AF" w:rsidRDefault="00244B02" w:rsidP="00B045AF">
      <w:pPr>
        <w:pStyle w:val="Akapitzlist"/>
        <w:numPr>
          <w:ilvl w:val="0"/>
          <w:numId w:val="3"/>
        </w:numPr>
        <w:spacing w:after="0"/>
        <w:ind w:left="567" w:hanging="357"/>
        <w:rPr>
          <w:b/>
          <w:noProof/>
        </w:rPr>
      </w:pPr>
      <w:r w:rsidRPr="00B045AF">
        <w:rPr>
          <w:rFonts w:cs="Calibri"/>
          <w:b/>
        </w:rPr>
        <w:t>wynik</w:t>
      </w:r>
      <w:r w:rsidR="00D35A70" w:rsidRPr="00B045AF">
        <w:rPr>
          <w:rFonts w:cs="Calibri"/>
          <w:b/>
        </w:rPr>
        <w:t xml:space="preserve"> netto </w:t>
      </w:r>
      <w:r w:rsidRPr="00B045AF">
        <w:rPr>
          <w:rFonts w:cs="Calibri"/>
          <w:b/>
        </w:rPr>
        <w:t>w</w:t>
      </w:r>
      <w:r w:rsidR="00D35A70" w:rsidRPr="00B045AF">
        <w:rPr>
          <w:rFonts w:cs="Calibri"/>
          <w:b/>
        </w:rPr>
        <w:t xml:space="preserve"> </w:t>
      </w:r>
      <w:r w:rsidR="00AC3A6A">
        <w:rPr>
          <w:rFonts w:cs="Calibri"/>
          <w:b/>
        </w:rPr>
        <w:t>4</w:t>
      </w:r>
      <w:r w:rsidRPr="00B045AF">
        <w:rPr>
          <w:rFonts w:cs="Calibri"/>
          <w:b/>
        </w:rPr>
        <w:t>Q’</w:t>
      </w:r>
      <w:r w:rsidR="00830F20" w:rsidRPr="00B045AF">
        <w:rPr>
          <w:rFonts w:cs="Calibri"/>
          <w:b/>
        </w:rPr>
        <w:t>201</w:t>
      </w:r>
      <w:r w:rsidRPr="00B045AF">
        <w:rPr>
          <w:rFonts w:cs="Calibri"/>
          <w:b/>
        </w:rPr>
        <w:t>6</w:t>
      </w:r>
      <w:r w:rsidR="00D35A70" w:rsidRPr="00B045AF">
        <w:rPr>
          <w:rFonts w:cs="Calibri"/>
          <w:b/>
        </w:rPr>
        <w:t xml:space="preserve"> rok</w:t>
      </w:r>
      <w:r w:rsidRPr="00B045AF">
        <w:rPr>
          <w:rFonts w:cs="Calibri"/>
          <w:b/>
        </w:rPr>
        <w:t>u</w:t>
      </w:r>
      <w:r w:rsidR="00830F20" w:rsidRPr="00B045AF">
        <w:rPr>
          <w:rFonts w:cs="Calibri"/>
          <w:b/>
        </w:rPr>
        <w:t xml:space="preserve"> </w:t>
      </w:r>
      <w:r w:rsidR="00830F20" w:rsidRPr="00B045AF">
        <w:rPr>
          <w:rFonts w:cs="Calibri"/>
        </w:rPr>
        <w:t xml:space="preserve">wyniósł </w:t>
      </w:r>
      <w:r w:rsidR="009B44EA">
        <w:rPr>
          <w:rFonts w:cs="Calibri"/>
        </w:rPr>
        <w:t>1 274,79</w:t>
      </w:r>
      <w:r w:rsidRPr="00B045AF">
        <w:rPr>
          <w:rFonts w:cs="Calibri"/>
        </w:rPr>
        <w:t xml:space="preserve"> tys. zł</w:t>
      </w:r>
      <w:r w:rsidR="00BE3CB3">
        <w:rPr>
          <w:rFonts w:cs="Calibri"/>
        </w:rPr>
        <w:t>, spadek o</w:t>
      </w:r>
      <w:r w:rsidR="00640F6F" w:rsidRPr="00B045AF">
        <w:rPr>
          <w:rFonts w:cs="Calibri"/>
        </w:rPr>
        <w:t xml:space="preserve"> </w:t>
      </w:r>
      <w:r w:rsidR="00BE3CB3">
        <w:rPr>
          <w:rFonts w:cs="Calibri"/>
        </w:rPr>
        <w:t>26,19</w:t>
      </w:r>
      <w:r w:rsidR="00640F6F" w:rsidRPr="00B045AF">
        <w:rPr>
          <w:rFonts w:cs="Calibri"/>
        </w:rPr>
        <w:t>% r/r;</w:t>
      </w:r>
    </w:p>
    <w:p w:rsidR="00640F6F" w:rsidRPr="00B045AF" w:rsidRDefault="00640F6F" w:rsidP="00B045AF">
      <w:pPr>
        <w:pStyle w:val="Akapitzlist"/>
        <w:numPr>
          <w:ilvl w:val="0"/>
          <w:numId w:val="3"/>
        </w:numPr>
        <w:spacing w:after="0"/>
        <w:ind w:left="567" w:hanging="357"/>
        <w:rPr>
          <w:noProof/>
        </w:rPr>
      </w:pPr>
      <w:r w:rsidRPr="00B045AF">
        <w:rPr>
          <w:rFonts w:cs="Calibri"/>
          <w:b/>
        </w:rPr>
        <w:t xml:space="preserve">wynik netto w </w:t>
      </w:r>
      <w:r w:rsidR="00BE3CB3">
        <w:rPr>
          <w:rFonts w:cs="Calibri"/>
          <w:b/>
        </w:rPr>
        <w:t>okresie I-IV</w:t>
      </w:r>
      <w:r w:rsidR="0016578C" w:rsidRPr="00B045AF">
        <w:rPr>
          <w:rFonts w:cs="Calibri"/>
          <w:b/>
        </w:rPr>
        <w:t xml:space="preserve"> kwartał</w:t>
      </w:r>
      <w:r w:rsidRPr="00B045AF">
        <w:rPr>
          <w:rFonts w:cs="Calibri"/>
          <w:b/>
        </w:rPr>
        <w:t xml:space="preserve"> 2016 roku </w:t>
      </w:r>
      <w:r w:rsidRPr="00B045AF">
        <w:rPr>
          <w:rFonts w:cs="Calibri"/>
        </w:rPr>
        <w:t xml:space="preserve">wyniósł </w:t>
      </w:r>
      <w:r w:rsidR="00BE3CB3">
        <w:rPr>
          <w:rFonts w:cs="Calibri"/>
        </w:rPr>
        <w:t>3 076,24</w:t>
      </w:r>
      <w:r w:rsidRPr="00B045AF">
        <w:rPr>
          <w:rFonts w:cs="Calibri"/>
        </w:rPr>
        <w:t xml:space="preserve"> tys. zł, spadek </w:t>
      </w:r>
      <w:r w:rsidR="00D4158A" w:rsidRPr="00B045AF">
        <w:rPr>
          <w:rFonts w:cs="Calibri"/>
        </w:rPr>
        <w:t xml:space="preserve">o </w:t>
      </w:r>
      <w:r w:rsidR="00BE3CB3">
        <w:rPr>
          <w:rFonts w:cs="Calibri"/>
        </w:rPr>
        <w:t>19,16</w:t>
      </w:r>
      <w:r w:rsidR="00D4158A" w:rsidRPr="00B045AF">
        <w:rPr>
          <w:rFonts w:cs="Calibri"/>
        </w:rPr>
        <w:t>% r/r.</w:t>
      </w:r>
    </w:p>
    <w:p w:rsidR="00244B02" w:rsidRDefault="00244B02" w:rsidP="00244B02">
      <w:pPr>
        <w:pStyle w:val="Akapitzlist"/>
        <w:spacing w:after="0"/>
        <w:ind w:left="992"/>
        <w:rPr>
          <w:b/>
          <w:noProof/>
        </w:rPr>
      </w:pPr>
    </w:p>
    <w:p w:rsidR="00244B02" w:rsidRDefault="00244B02" w:rsidP="00244B02">
      <w:pPr>
        <w:rPr>
          <w:b/>
          <w:noProof/>
        </w:rPr>
      </w:pPr>
    </w:p>
    <w:p w:rsidR="00247D11" w:rsidRPr="009D2D2C" w:rsidRDefault="00317B6E" w:rsidP="00244B02">
      <w:pPr>
        <w:rPr>
          <w:rFonts w:asciiTheme="minorHAnsi" w:hAnsiTheme="minorHAnsi"/>
          <w:b/>
          <w:noProof/>
          <w:sz w:val="22"/>
        </w:rPr>
      </w:pPr>
      <w:r w:rsidRPr="009D2D2C">
        <w:rPr>
          <w:rFonts w:asciiTheme="minorHAnsi" w:hAnsiTheme="minorHAnsi"/>
          <w:b/>
          <w:noProof/>
          <w:sz w:val="22"/>
        </w:rPr>
        <w:t xml:space="preserve">Podsumowanie </w:t>
      </w:r>
    </w:p>
    <w:p w:rsidR="009D2D2C" w:rsidRPr="009D2D2C" w:rsidRDefault="009D2D2C" w:rsidP="00244B02">
      <w:pPr>
        <w:rPr>
          <w:b/>
          <w:noProof/>
          <w:sz w:val="12"/>
        </w:rPr>
      </w:pPr>
    </w:p>
    <w:p w:rsidR="004408D7" w:rsidRPr="004408D7" w:rsidRDefault="004408D7" w:rsidP="004408D7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- Rok </w:t>
      </w:r>
      <w:r w:rsidRPr="00620FAB">
        <w:rPr>
          <w:rFonts w:asciiTheme="minorHAnsi" w:hAnsiTheme="minorHAnsi" w:cstheme="minorHAnsi"/>
          <w:i/>
          <w:sz w:val="22"/>
          <w:szCs w:val="22"/>
        </w:rPr>
        <w:t xml:space="preserve">2016 roku </w:t>
      </w:r>
      <w:r>
        <w:rPr>
          <w:rFonts w:asciiTheme="minorHAnsi" w:hAnsiTheme="minorHAnsi" w:cstheme="minorHAnsi"/>
          <w:i/>
          <w:sz w:val="22"/>
          <w:szCs w:val="22"/>
        </w:rPr>
        <w:t>był dla Grupy Kapitałowej LUG S.A. czasem</w:t>
      </w:r>
      <w:r w:rsidRPr="00620FAB">
        <w:rPr>
          <w:rFonts w:asciiTheme="minorHAnsi" w:hAnsiTheme="minorHAnsi" w:cstheme="minorHAnsi"/>
          <w:i/>
          <w:sz w:val="22"/>
          <w:szCs w:val="22"/>
        </w:rPr>
        <w:t xml:space="preserve"> nagłych zwrotów akcji -  trudnych początków oraz spektakularnych sukcesów. Był to okres stabilnego rozwoju, ale także czas niepokoju wywo</w:t>
      </w:r>
      <w:r>
        <w:rPr>
          <w:rFonts w:asciiTheme="minorHAnsi" w:hAnsiTheme="minorHAnsi" w:cstheme="minorHAnsi"/>
          <w:i/>
          <w:sz w:val="22"/>
          <w:szCs w:val="22"/>
        </w:rPr>
        <w:t xml:space="preserve">łanego czynnikami zewnętrznymi – </w:t>
      </w:r>
      <w:r w:rsidRPr="004408D7">
        <w:rPr>
          <w:rFonts w:asciiTheme="minorHAnsi" w:hAnsiTheme="minorHAnsi" w:cstheme="minorHAnsi"/>
          <w:sz w:val="22"/>
          <w:szCs w:val="22"/>
        </w:rPr>
        <w:t xml:space="preserve">podsumowuje 2016 rok Ryszard </w:t>
      </w:r>
      <w:proofErr w:type="spellStart"/>
      <w:r w:rsidRPr="004408D7">
        <w:rPr>
          <w:rFonts w:asciiTheme="minorHAnsi" w:hAnsiTheme="minorHAnsi" w:cstheme="minorHAnsi"/>
          <w:sz w:val="22"/>
          <w:szCs w:val="22"/>
        </w:rPr>
        <w:t>Wtorkowski</w:t>
      </w:r>
      <w:proofErr w:type="spellEnd"/>
      <w:r w:rsidRPr="004408D7">
        <w:rPr>
          <w:rFonts w:asciiTheme="minorHAnsi" w:hAnsiTheme="minorHAnsi" w:cstheme="minorHAnsi"/>
          <w:sz w:val="22"/>
          <w:szCs w:val="22"/>
        </w:rPr>
        <w:t>, Prezes Zarządu LUG S.A.</w:t>
      </w:r>
    </w:p>
    <w:p w:rsidR="004408D7" w:rsidRDefault="004408D7" w:rsidP="004408D7">
      <w:pPr>
        <w:spacing w:line="264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DA0BF5" w:rsidRDefault="00A55F77" w:rsidP="004408D7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A0BF5">
        <w:rPr>
          <w:rFonts w:asciiTheme="minorHAnsi" w:hAnsiTheme="minorHAnsi" w:cstheme="minorHAnsi"/>
          <w:sz w:val="22"/>
          <w:szCs w:val="22"/>
        </w:rPr>
        <w:t xml:space="preserve">W I kwartale </w:t>
      </w:r>
      <w:r w:rsidR="00DA0BF5" w:rsidRPr="00DA0BF5">
        <w:rPr>
          <w:rFonts w:asciiTheme="minorHAnsi" w:hAnsiTheme="minorHAnsi" w:cstheme="minorHAnsi"/>
          <w:sz w:val="22"/>
          <w:szCs w:val="22"/>
        </w:rPr>
        <w:t xml:space="preserve">2016 </w:t>
      </w:r>
      <w:r w:rsidRPr="00DA0BF5">
        <w:rPr>
          <w:rFonts w:asciiTheme="minorHAnsi" w:hAnsiTheme="minorHAnsi" w:cstheme="minorHAnsi"/>
          <w:sz w:val="22"/>
          <w:szCs w:val="22"/>
        </w:rPr>
        <w:t xml:space="preserve">roku wyniki </w:t>
      </w:r>
      <w:r w:rsidR="004408D7" w:rsidRPr="00DA0BF5">
        <w:rPr>
          <w:rFonts w:asciiTheme="minorHAnsi" w:hAnsiTheme="minorHAnsi" w:cstheme="minorHAnsi"/>
          <w:sz w:val="22"/>
          <w:szCs w:val="22"/>
        </w:rPr>
        <w:t>Grup</w:t>
      </w:r>
      <w:r w:rsidRPr="00DA0BF5">
        <w:rPr>
          <w:rFonts w:asciiTheme="minorHAnsi" w:hAnsiTheme="minorHAnsi" w:cstheme="minorHAnsi"/>
          <w:sz w:val="22"/>
          <w:szCs w:val="22"/>
        </w:rPr>
        <w:t>y</w:t>
      </w:r>
      <w:r w:rsidR="004408D7" w:rsidRPr="00DA0BF5">
        <w:rPr>
          <w:rFonts w:asciiTheme="minorHAnsi" w:hAnsiTheme="minorHAnsi" w:cstheme="minorHAnsi"/>
          <w:sz w:val="22"/>
          <w:szCs w:val="22"/>
        </w:rPr>
        <w:t xml:space="preserve"> Kapitałow</w:t>
      </w:r>
      <w:r w:rsidRPr="00DA0BF5">
        <w:rPr>
          <w:rFonts w:asciiTheme="minorHAnsi" w:hAnsiTheme="minorHAnsi" w:cstheme="minorHAnsi"/>
          <w:sz w:val="22"/>
          <w:szCs w:val="22"/>
        </w:rPr>
        <w:t>ej</w:t>
      </w:r>
      <w:r w:rsidR="004408D7" w:rsidRPr="00DA0BF5">
        <w:rPr>
          <w:rFonts w:asciiTheme="minorHAnsi" w:hAnsiTheme="minorHAnsi" w:cstheme="minorHAnsi"/>
          <w:sz w:val="22"/>
          <w:szCs w:val="22"/>
        </w:rPr>
        <w:t xml:space="preserve"> LUG S.A. </w:t>
      </w:r>
      <w:r w:rsidR="00DA0BF5">
        <w:rPr>
          <w:rFonts w:asciiTheme="minorHAnsi" w:hAnsiTheme="minorHAnsi" w:cstheme="minorHAnsi"/>
          <w:sz w:val="22"/>
          <w:szCs w:val="22"/>
        </w:rPr>
        <w:t>był</w:t>
      </w:r>
      <w:r w:rsidRPr="00DA0BF5">
        <w:rPr>
          <w:rFonts w:asciiTheme="minorHAnsi" w:hAnsiTheme="minorHAnsi" w:cstheme="minorHAnsi"/>
          <w:sz w:val="22"/>
          <w:szCs w:val="22"/>
        </w:rPr>
        <w:t xml:space="preserve"> pod wpływem </w:t>
      </w:r>
      <w:r w:rsidR="004408D7" w:rsidRPr="00DA0BF5">
        <w:rPr>
          <w:rFonts w:asciiTheme="minorHAnsi" w:hAnsiTheme="minorHAnsi" w:cstheme="minorHAnsi"/>
          <w:sz w:val="22"/>
          <w:szCs w:val="22"/>
        </w:rPr>
        <w:t xml:space="preserve">niepewności wynikającej </w:t>
      </w:r>
      <w:r w:rsidR="004408D7" w:rsidRPr="00DA0BF5">
        <w:rPr>
          <w:rFonts w:asciiTheme="minorHAnsi" w:hAnsiTheme="minorHAnsi" w:cstheme="minorHAnsi"/>
          <w:sz w:val="22"/>
          <w:szCs w:val="22"/>
        </w:rPr>
        <w:br/>
        <w:t>z pesymistycznych nastrojów inwestorów</w:t>
      </w:r>
      <w:r w:rsidR="00DA0BF5">
        <w:rPr>
          <w:rFonts w:asciiTheme="minorHAnsi" w:hAnsiTheme="minorHAnsi" w:cstheme="minorHAnsi"/>
          <w:sz w:val="22"/>
          <w:szCs w:val="22"/>
        </w:rPr>
        <w:t xml:space="preserve"> (klientów)</w:t>
      </w:r>
      <w:r w:rsidR="004408D7" w:rsidRPr="00DA0BF5">
        <w:rPr>
          <w:rFonts w:asciiTheme="minorHAnsi" w:hAnsiTheme="minorHAnsi" w:cstheme="minorHAnsi"/>
          <w:sz w:val="22"/>
          <w:szCs w:val="22"/>
        </w:rPr>
        <w:t>, którzy wstrzymali realizację wielu inwestycji, co negatywnie odbiło się na portfelu zamówień LUG. Jedno</w:t>
      </w:r>
      <w:r w:rsidR="00DA0BF5">
        <w:rPr>
          <w:rFonts w:asciiTheme="minorHAnsi" w:hAnsiTheme="minorHAnsi" w:cstheme="minorHAnsi"/>
          <w:sz w:val="22"/>
          <w:szCs w:val="22"/>
        </w:rPr>
        <w:t>cześnie kwartał ten zmotywował firmę</w:t>
      </w:r>
      <w:r w:rsidR="004408D7" w:rsidRPr="00DA0BF5">
        <w:rPr>
          <w:rFonts w:asciiTheme="minorHAnsi" w:hAnsiTheme="minorHAnsi" w:cstheme="minorHAnsi"/>
          <w:sz w:val="22"/>
          <w:szCs w:val="22"/>
        </w:rPr>
        <w:t xml:space="preserve"> do </w:t>
      </w:r>
      <w:r w:rsidR="00DA0BF5">
        <w:rPr>
          <w:rFonts w:asciiTheme="minorHAnsi" w:hAnsiTheme="minorHAnsi" w:cstheme="minorHAnsi"/>
          <w:sz w:val="22"/>
          <w:szCs w:val="22"/>
        </w:rPr>
        <w:t xml:space="preserve">zwielokrotnienia wysiłków i </w:t>
      </w:r>
      <w:r w:rsidR="004408D7" w:rsidRPr="00DA0BF5">
        <w:rPr>
          <w:rFonts w:asciiTheme="minorHAnsi" w:hAnsiTheme="minorHAnsi" w:cstheme="minorHAnsi"/>
          <w:sz w:val="22"/>
          <w:szCs w:val="22"/>
        </w:rPr>
        <w:t xml:space="preserve">pracy nad poprawą wyników, dzięki czemu zapoczątkowana </w:t>
      </w:r>
      <w:r w:rsidR="004408D7" w:rsidRPr="00DA0BF5">
        <w:rPr>
          <w:rFonts w:asciiTheme="minorHAnsi" w:hAnsiTheme="minorHAnsi" w:cstheme="minorHAnsi"/>
          <w:sz w:val="22"/>
          <w:szCs w:val="22"/>
        </w:rPr>
        <w:br/>
        <w:t>w II kwartale tendencja dodatniej comiesięcznej dynamiki przychodów realizowa</w:t>
      </w:r>
      <w:r w:rsidR="00DA0BF5">
        <w:rPr>
          <w:rFonts w:asciiTheme="minorHAnsi" w:hAnsiTheme="minorHAnsi" w:cstheme="minorHAnsi"/>
          <w:sz w:val="22"/>
          <w:szCs w:val="22"/>
        </w:rPr>
        <w:t>na była już do końca 2016 roku.</w:t>
      </w:r>
    </w:p>
    <w:p w:rsidR="00DA0BF5" w:rsidRDefault="00DA0BF5" w:rsidP="004408D7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8024F" w:rsidRDefault="004408D7" w:rsidP="004408D7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A0BF5">
        <w:rPr>
          <w:rFonts w:asciiTheme="minorHAnsi" w:hAnsiTheme="minorHAnsi" w:cstheme="minorHAnsi"/>
          <w:sz w:val="22"/>
          <w:szCs w:val="22"/>
        </w:rPr>
        <w:t>Ostatecznie skonsolidowane przychody ze sprzedaży Grupy Kapitałowej LUG S.A. wzrosły w IV kwartale 2016 roku o 12,40</w:t>
      </w:r>
      <w:r w:rsidR="00DA0BF5">
        <w:rPr>
          <w:rFonts w:asciiTheme="minorHAnsi" w:hAnsiTheme="minorHAnsi" w:cstheme="minorHAnsi"/>
          <w:sz w:val="22"/>
          <w:szCs w:val="22"/>
        </w:rPr>
        <w:t>%</w:t>
      </w:r>
      <w:r w:rsidRPr="00DA0BF5">
        <w:rPr>
          <w:rFonts w:asciiTheme="minorHAnsi" w:hAnsiTheme="minorHAnsi" w:cstheme="minorHAnsi"/>
          <w:sz w:val="22"/>
          <w:szCs w:val="22"/>
        </w:rPr>
        <w:t>, by w całym 2016 rok</w:t>
      </w:r>
      <w:r w:rsidR="00D004F3">
        <w:rPr>
          <w:rFonts w:asciiTheme="minorHAnsi" w:hAnsiTheme="minorHAnsi" w:cstheme="minorHAnsi"/>
          <w:sz w:val="22"/>
          <w:szCs w:val="22"/>
        </w:rPr>
        <w:t>u osiągnąć rekordowy poziom 121 880,18 tys.</w:t>
      </w:r>
      <w:r w:rsidRPr="00DA0BF5">
        <w:rPr>
          <w:rFonts w:asciiTheme="minorHAnsi" w:hAnsiTheme="minorHAnsi" w:cstheme="minorHAnsi"/>
          <w:sz w:val="22"/>
          <w:szCs w:val="22"/>
        </w:rPr>
        <w:t xml:space="preserve"> zł. Wynik ten </w:t>
      </w:r>
      <w:r w:rsidR="00DA0BF5">
        <w:rPr>
          <w:rFonts w:asciiTheme="minorHAnsi" w:hAnsiTheme="minorHAnsi" w:cstheme="minorHAnsi"/>
          <w:sz w:val="22"/>
          <w:szCs w:val="22"/>
        </w:rPr>
        <w:t>został wsparty</w:t>
      </w:r>
      <w:r w:rsidRPr="00DA0BF5">
        <w:rPr>
          <w:rFonts w:asciiTheme="minorHAnsi" w:hAnsiTheme="minorHAnsi" w:cstheme="minorHAnsi"/>
          <w:sz w:val="22"/>
          <w:szCs w:val="22"/>
        </w:rPr>
        <w:t xml:space="preserve"> poprawą marży na sprzedaży brutto do poziomu </w:t>
      </w:r>
      <w:r w:rsidR="00DA0BF5">
        <w:rPr>
          <w:rFonts w:asciiTheme="minorHAnsi" w:hAnsiTheme="minorHAnsi" w:cstheme="minorHAnsi"/>
          <w:sz w:val="22"/>
          <w:szCs w:val="22"/>
        </w:rPr>
        <w:t>ponad</w:t>
      </w:r>
      <w:r w:rsidRPr="00DA0BF5">
        <w:rPr>
          <w:rFonts w:asciiTheme="minorHAnsi" w:hAnsiTheme="minorHAnsi" w:cstheme="minorHAnsi"/>
          <w:sz w:val="22"/>
          <w:szCs w:val="22"/>
        </w:rPr>
        <w:t xml:space="preserve"> 4</w:t>
      </w:r>
      <w:r w:rsidR="00DA0BF5">
        <w:rPr>
          <w:rFonts w:asciiTheme="minorHAnsi" w:hAnsiTheme="minorHAnsi" w:cstheme="minorHAnsi"/>
          <w:sz w:val="22"/>
          <w:szCs w:val="22"/>
        </w:rPr>
        <w:t>2%</w:t>
      </w:r>
      <w:r w:rsidRPr="00DA0BF5">
        <w:rPr>
          <w:rFonts w:asciiTheme="minorHAnsi" w:hAnsiTheme="minorHAnsi" w:cstheme="minorHAnsi"/>
          <w:sz w:val="22"/>
          <w:szCs w:val="22"/>
        </w:rPr>
        <w:t xml:space="preserve">. </w:t>
      </w:r>
      <w:r w:rsidR="0048024F">
        <w:rPr>
          <w:rFonts w:asciiTheme="minorHAnsi" w:hAnsiTheme="minorHAnsi" w:cstheme="minorHAnsi"/>
          <w:sz w:val="22"/>
          <w:szCs w:val="22"/>
        </w:rPr>
        <w:t xml:space="preserve">Zarówno EBIT, jak i EBITDA wykazały w raportowanym okresie pozytywną dynamikę. W samym IV kwartale zysk z działalności </w:t>
      </w:r>
      <w:r w:rsidR="0048024F">
        <w:rPr>
          <w:rFonts w:asciiTheme="minorHAnsi" w:hAnsiTheme="minorHAnsi" w:cstheme="minorHAnsi"/>
          <w:sz w:val="22"/>
          <w:szCs w:val="22"/>
        </w:rPr>
        <w:lastRenderedPageBreak/>
        <w:t xml:space="preserve">operacyjnej wzrósł o 22,03% do poziomu 3 093,72 tys. zł, natomiast w całym 2016 roku ukształtował się na poziomie 5 210,91 tys. zł, r/r wyższym o 9,64%. EBITDA w IV kwartale </w:t>
      </w:r>
      <w:r w:rsidR="00D004F3">
        <w:rPr>
          <w:rFonts w:asciiTheme="minorHAnsi" w:hAnsiTheme="minorHAnsi" w:cstheme="minorHAnsi"/>
          <w:sz w:val="22"/>
          <w:szCs w:val="22"/>
        </w:rPr>
        <w:t xml:space="preserve">osiągnął poziom 4 608,42 tys. zł (+42,38% r/r), by ostatecznie w całym roku osiągnąć wartość </w:t>
      </w:r>
      <w:r w:rsidR="00D004F3">
        <w:rPr>
          <w:rFonts w:asciiTheme="minorHAnsi" w:hAnsiTheme="minorHAnsi" w:cstheme="minorHAnsi"/>
          <w:sz w:val="22"/>
          <w:szCs w:val="22"/>
        </w:rPr>
        <w:t>9 890,46 tys. zł</w:t>
      </w:r>
      <w:r w:rsidR="00D004F3">
        <w:rPr>
          <w:rFonts w:asciiTheme="minorHAnsi" w:hAnsiTheme="minorHAnsi" w:cstheme="minorHAnsi"/>
          <w:sz w:val="22"/>
          <w:szCs w:val="22"/>
        </w:rPr>
        <w:t xml:space="preserve"> (+18,31% r/r).</w:t>
      </w:r>
    </w:p>
    <w:p w:rsidR="0048024F" w:rsidRDefault="0048024F" w:rsidP="004408D7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408D7" w:rsidRPr="00DA0BF5" w:rsidRDefault="004408D7" w:rsidP="004408D7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A0BF5">
        <w:rPr>
          <w:rFonts w:asciiTheme="minorHAnsi" w:hAnsiTheme="minorHAnsi" w:cstheme="minorHAnsi"/>
          <w:sz w:val="22"/>
          <w:szCs w:val="22"/>
        </w:rPr>
        <w:t xml:space="preserve">Zysk netto w </w:t>
      </w:r>
      <w:r w:rsidR="00D004F3">
        <w:rPr>
          <w:rFonts w:asciiTheme="minorHAnsi" w:hAnsiTheme="minorHAnsi" w:cstheme="minorHAnsi"/>
          <w:sz w:val="22"/>
          <w:szCs w:val="22"/>
        </w:rPr>
        <w:t xml:space="preserve">IV kwartale ukształtował się na poziomie 1 274,79 tys. zł, a w całym </w:t>
      </w:r>
      <w:r w:rsidRPr="00DA0BF5">
        <w:rPr>
          <w:rFonts w:asciiTheme="minorHAnsi" w:hAnsiTheme="minorHAnsi" w:cstheme="minorHAnsi"/>
          <w:sz w:val="22"/>
          <w:szCs w:val="22"/>
        </w:rPr>
        <w:t xml:space="preserve">2016 roku wyniósł </w:t>
      </w:r>
      <w:r w:rsidR="00D004F3">
        <w:rPr>
          <w:rFonts w:asciiTheme="minorHAnsi" w:hAnsiTheme="minorHAnsi" w:cstheme="minorHAnsi"/>
          <w:sz w:val="22"/>
          <w:szCs w:val="22"/>
        </w:rPr>
        <w:br/>
      </w:r>
      <w:r w:rsidRPr="00DA0BF5">
        <w:rPr>
          <w:rFonts w:asciiTheme="minorHAnsi" w:hAnsiTheme="minorHAnsi" w:cstheme="minorHAnsi"/>
          <w:sz w:val="22"/>
          <w:szCs w:val="22"/>
        </w:rPr>
        <w:t>3</w:t>
      </w:r>
      <w:r w:rsidR="00D004F3">
        <w:rPr>
          <w:rFonts w:asciiTheme="minorHAnsi" w:hAnsiTheme="minorHAnsi" w:cstheme="minorHAnsi"/>
          <w:sz w:val="22"/>
          <w:szCs w:val="22"/>
        </w:rPr>
        <w:t xml:space="preserve"> 076,24 tys.</w:t>
      </w:r>
      <w:r w:rsidRPr="00DA0BF5">
        <w:rPr>
          <w:rFonts w:asciiTheme="minorHAnsi" w:hAnsiTheme="minorHAnsi" w:cstheme="minorHAnsi"/>
          <w:sz w:val="22"/>
          <w:szCs w:val="22"/>
        </w:rPr>
        <w:t xml:space="preserve"> zł i mimo że r/r </w:t>
      </w:r>
      <w:r w:rsidR="0048024F">
        <w:rPr>
          <w:rFonts w:asciiTheme="minorHAnsi" w:hAnsiTheme="minorHAnsi" w:cstheme="minorHAnsi"/>
          <w:sz w:val="22"/>
          <w:szCs w:val="22"/>
        </w:rPr>
        <w:t>jest niższy</w:t>
      </w:r>
      <w:r w:rsidR="00D004F3">
        <w:rPr>
          <w:rFonts w:asciiTheme="minorHAnsi" w:hAnsiTheme="minorHAnsi" w:cstheme="minorHAnsi"/>
          <w:sz w:val="22"/>
          <w:szCs w:val="22"/>
        </w:rPr>
        <w:t xml:space="preserve"> o 19,16%</w:t>
      </w:r>
      <w:r w:rsidR="0048024F">
        <w:rPr>
          <w:rFonts w:asciiTheme="minorHAnsi" w:hAnsiTheme="minorHAnsi" w:cstheme="minorHAnsi"/>
          <w:sz w:val="22"/>
          <w:szCs w:val="22"/>
        </w:rPr>
        <w:t>, to firma z satysfakcją otwiera</w:t>
      </w:r>
      <w:r w:rsidRPr="00DA0BF5">
        <w:rPr>
          <w:rFonts w:asciiTheme="minorHAnsi" w:hAnsiTheme="minorHAnsi" w:cstheme="minorHAnsi"/>
          <w:sz w:val="22"/>
          <w:szCs w:val="22"/>
        </w:rPr>
        <w:t xml:space="preserve"> kolejny rok. </w:t>
      </w:r>
    </w:p>
    <w:p w:rsidR="004408D7" w:rsidRPr="00D004F3" w:rsidRDefault="004408D7" w:rsidP="002831AB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</w:rPr>
      </w:pPr>
    </w:p>
    <w:p w:rsidR="004408D7" w:rsidRDefault="00D004F3" w:rsidP="002831AB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D004F3">
        <w:rPr>
          <w:rFonts w:asciiTheme="minorHAnsi" w:hAnsiTheme="minorHAnsi" w:cstheme="minorHAnsi"/>
          <w:sz w:val="22"/>
        </w:rPr>
        <w:t xml:space="preserve">- </w:t>
      </w:r>
      <w:r w:rsidRPr="009D671D">
        <w:rPr>
          <w:rFonts w:asciiTheme="minorHAnsi" w:hAnsiTheme="minorHAnsi" w:cstheme="minorHAnsi"/>
          <w:i/>
          <w:sz w:val="22"/>
        </w:rPr>
        <w:t xml:space="preserve">Niepewność sytuacji geopolitycznej i warunków makroekonomicznych wybrzmiewa w obecnych czasach </w:t>
      </w:r>
      <w:r w:rsidR="009D671D" w:rsidRPr="009D671D">
        <w:rPr>
          <w:rFonts w:asciiTheme="minorHAnsi" w:hAnsiTheme="minorHAnsi" w:cstheme="minorHAnsi"/>
          <w:i/>
          <w:sz w:val="22"/>
        </w:rPr>
        <w:t xml:space="preserve">w </w:t>
      </w:r>
      <w:r w:rsidRPr="009D671D">
        <w:rPr>
          <w:rFonts w:asciiTheme="minorHAnsi" w:hAnsiTheme="minorHAnsi" w:cstheme="minorHAnsi"/>
          <w:i/>
          <w:sz w:val="22"/>
        </w:rPr>
        <w:t>każdej rozmowie biznesowej, dlatego tym bardziej cieszą nas wypracowane wyniki i fakt, że nasze wzrosty nie kończą się w 2016 roku. Styczniowa dynamika przychodów na rynku krajowym i na rynkach zagranicznych wskazuje na kontynuację pozytywnego trendu w 2017 roku</w:t>
      </w:r>
      <w:r w:rsidRPr="00D004F3">
        <w:rPr>
          <w:rFonts w:asciiTheme="minorHAnsi" w:hAnsiTheme="minorHAnsi" w:cstheme="minorHAnsi"/>
          <w:sz w:val="22"/>
        </w:rPr>
        <w:t xml:space="preserve"> – komentuje Ryszard </w:t>
      </w:r>
      <w:proofErr w:type="spellStart"/>
      <w:r w:rsidRPr="00D004F3">
        <w:rPr>
          <w:rFonts w:asciiTheme="minorHAnsi" w:hAnsiTheme="minorHAnsi" w:cstheme="minorHAnsi"/>
          <w:sz w:val="22"/>
        </w:rPr>
        <w:t>Wtorkowski</w:t>
      </w:r>
      <w:proofErr w:type="spellEnd"/>
      <w:r w:rsidRPr="00D004F3">
        <w:rPr>
          <w:rFonts w:asciiTheme="minorHAnsi" w:hAnsiTheme="minorHAnsi" w:cstheme="minorHAnsi"/>
          <w:sz w:val="22"/>
        </w:rPr>
        <w:t>, Prezes Zarządu LUG S.A.</w:t>
      </w:r>
    </w:p>
    <w:p w:rsidR="005D4324" w:rsidRDefault="005D4324" w:rsidP="002831AB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</w:rPr>
      </w:pPr>
    </w:p>
    <w:p w:rsidR="005D4324" w:rsidRPr="005D4324" w:rsidRDefault="005D4324" w:rsidP="005D4324">
      <w:pPr>
        <w:autoSpaceDE w:val="0"/>
        <w:autoSpaceDN w:val="0"/>
        <w:adjustRightInd w:val="0"/>
        <w:spacing w:line="264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D4324">
        <w:rPr>
          <w:rFonts w:asciiTheme="minorHAnsi" w:hAnsiTheme="minorHAnsi" w:cstheme="minorHAnsi"/>
          <w:sz w:val="22"/>
          <w:szCs w:val="22"/>
        </w:rPr>
        <w:t>Spektakularnym sukcesem Grupy Kapitałowej LUG S.A. w 2016 roku była decyzja o wejściu na rynek argentyński wsparta podpisaniem w IV kwartale strategicznej dla rozwoju firmy umow</w:t>
      </w:r>
      <w:r>
        <w:rPr>
          <w:rFonts w:asciiTheme="minorHAnsi" w:hAnsiTheme="minorHAnsi" w:cstheme="minorHAnsi"/>
          <w:sz w:val="22"/>
          <w:szCs w:val="22"/>
        </w:rPr>
        <w:t xml:space="preserve">y z Rządem Prowincji Misiones. Na mocy umowy </w:t>
      </w:r>
      <w:r w:rsidRPr="005D4324">
        <w:rPr>
          <w:rFonts w:asciiTheme="minorHAnsi" w:hAnsiTheme="minorHAnsi" w:cstheme="minorHAnsi"/>
          <w:sz w:val="22"/>
          <w:szCs w:val="22"/>
        </w:rPr>
        <w:t xml:space="preserve">w Argentynie powstanie zakład produkcyjno – montażowy, </w:t>
      </w:r>
      <w:r w:rsidRPr="005D4324">
        <w:rPr>
          <w:rFonts w:asciiTheme="minorHAnsi" w:hAnsiTheme="minorHAnsi" w:cstheme="minorHAnsi"/>
          <w:sz w:val="22"/>
          <w:szCs w:val="22"/>
        </w:rPr>
        <w:br/>
        <w:t xml:space="preserve">a LUG </w:t>
      </w:r>
      <w:r w:rsidRPr="005D4324">
        <w:rPr>
          <w:rStyle w:val="Pogrubienie"/>
          <w:rFonts w:asciiTheme="minorHAnsi" w:hAnsiTheme="minorHAnsi" w:cstheme="minorHAnsi"/>
          <w:b w:val="0"/>
          <w:sz w:val="22"/>
          <w:szCs w:val="22"/>
        </w:rPr>
        <w:t>dostarczy na tamtejszy rynek oprawy oświetleniowe o wartości blisko 21 mln euro.</w:t>
      </w:r>
      <w:r w:rsidRPr="005D4324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5D4324">
        <w:rPr>
          <w:rFonts w:asciiTheme="minorHAnsi" w:hAnsiTheme="minorHAnsi" w:cstheme="minorHAnsi"/>
          <w:sz w:val="22"/>
          <w:szCs w:val="22"/>
        </w:rPr>
        <w:t>Realizacja niniejszej umowy rozłoży się w czasie, podobnie jak w przypadku wszystkich projektów inwesty</w:t>
      </w:r>
      <w:r>
        <w:rPr>
          <w:rFonts w:asciiTheme="minorHAnsi" w:hAnsiTheme="minorHAnsi" w:cstheme="minorHAnsi"/>
          <w:sz w:val="22"/>
          <w:szCs w:val="22"/>
        </w:rPr>
        <w:t>cyjnych na dostawę oświetlenia</w:t>
      </w:r>
      <w:r w:rsidRPr="005D4324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Emitent planuje wykorzystać</w:t>
      </w:r>
      <w:r w:rsidRPr="005D4324">
        <w:rPr>
          <w:rFonts w:asciiTheme="minorHAnsi" w:hAnsiTheme="minorHAnsi" w:cstheme="minorHAnsi"/>
          <w:sz w:val="22"/>
          <w:szCs w:val="22"/>
        </w:rPr>
        <w:t xml:space="preserve"> ten czas na poszerzenie możliwości biznesowych </w:t>
      </w:r>
      <w:r>
        <w:rPr>
          <w:rFonts w:asciiTheme="minorHAnsi" w:hAnsiTheme="minorHAnsi" w:cstheme="minorHAnsi"/>
          <w:sz w:val="22"/>
          <w:szCs w:val="22"/>
        </w:rPr>
        <w:br/>
      </w:r>
      <w:r w:rsidRPr="005D4324">
        <w:rPr>
          <w:rFonts w:asciiTheme="minorHAnsi" w:hAnsiTheme="minorHAnsi" w:cstheme="minorHAnsi"/>
          <w:sz w:val="22"/>
          <w:szCs w:val="22"/>
        </w:rPr>
        <w:t>i rozbudowę siatki odbiorców w Argentynie i na terenie całej Ameryki Południowej.</w:t>
      </w:r>
      <w:r w:rsidRPr="005D4324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4408D7" w:rsidRDefault="004408D7" w:rsidP="002831AB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highlight w:val="yellow"/>
        </w:rPr>
      </w:pPr>
    </w:p>
    <w:p w:rsidR="00247D11" w:rsidRDefault="00247D11" w:rsidP="00DF5F51">
      <w:pPr>
        <w:rPr>
          <w:rFonts w:ascii="Calibri" w:hAnsi="Calibri"/>
          <w:b/>
          <w:noProof/>
          <w:szCs w:val="22"/>
        </w:rPr>
      </w:pPr>
      <w:r>
        <w:rPr>
          <w:rFonts w:ascii="Calibri" w:hAnsi="Calibri"/>
          <w:b/>
          <w:noProof/>
          <w:szCs w:val="22"/>
        </w:rPr>
        <w:t xml:space="preserve">Wybrane dane finansowe </w:t>
      </w:r>
    </w:p>
    <w:p w:rsidR="00247D11" w:rsidRDefault="00247D11" w:rsidP="00DF5F51">
      <w:pPr>
        <w:rPr>
          <w:rFonts w:ascii="Calibri" w:hAnsi="Calibri"/>
          <w:noProof/>
          <w:szCs w:val="22"/>
        </w:rPr>
      </w:pPr>
      <w:r>
        <w:rPr>
          <w:rFonts w:ascii="Calibri" w:hAnsi="Calibri"/>
          <w:noProof/>
          <w:szCs w:val="22"/>
        </w:rPr>
        <w:t>[tys. PLN]</w:t>
      </w:r>
    </w:p>
    <w:p w:rsidR="00A274FD" w:rsidRDefault="00C42EBB" w:rsidP="00664A2A">
      <w:pPr>
        <w:jc w:val="center"/>
        <w:rPr>
          <w:rFonts w:ascii="Calibri" w:hAnsi="Calibri"/>
          <w:noProof/>
          <w:szCs w:val="22"/>
        </w:rPr>
      </w:pPr>
      <w:r>
        <w:rPr>
          <w:noProof/>
        </w:rPr>
        <w:drawing>
          <wp:inline distT="0" distB="0" distL="0" distR="0" wp14:anchorId="3CCD5B99" wp14:editId="64353B86">
            <wp:extent cx="5904230" cy="1945640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04230" cy="1945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7B6E" w:rsidRDefault="00317B6E" w:rsidP="00DF5F51">
      <w:pPr>
        <w:rPr>
          <w:rFonts w:ascii="Calibri" w:hAnsi="Calibri"/>
          <w:noProof/>
          <w:szCs w:val="22"/>
        </w:rPr>
      </w:pPr>
    </w:p>
    <w:p w:rsidR="00C73B48" w:rsidRDefault="00B4241E" w:rsidP="005D4324">
      <w:pPr>
        <w:jc w:val="both"/>
        <w:rPr>
          <w:rFonts w:asciiTheme="minorHAnsi" w:hAnsiTheme="minorHAnsi" w:cstheme="minorHAnsi"/>
          <w:noProof/>
          <w:sz w:val="20"/>
          <w:szCs w:val="22"/>
        </w:rPr>
      </w:pPr>
      <w:r>
        <w:rPr>
          <w:rFonts w:asciiTheme="minorHAnsi" w:hAnsiTheme="minorHAnsi"/>
          <w:noProof/>
          <w:sz w:val="20"/>
          <w:szCs w:val="20"/>
        </w:rPr>
        <w:t>Pełna</w:t>
      </w:r>
      <w:r w:rsidR="00317B6E" w:rsidRPr="0038330C">
        <w:rPr>
          <w:rFonts w:asciiTheme="minorHAnsi" w:hAnsiTheme="minorHAnsi"/>
          <w:noProof/>
          <w:sz w:val="20"/>
          <w:szCs w:val="20"/>
        </w:rPr>
        <w:t xml:space="preserve"> </w:t>
      </w:r>
      <w:r w:rsidR="00D35A70" w:rsidRPr="0038330C">
        <w:rPr>
          <w:rFonts w:asciiTheme="minorHAnsi" w:hAnsiTheme="minorHAnsi"/>
          <w:noProof/>
          <w:sz w:val="20"/>
          <w:szCs w:val="20"/>
        </w:rPr>
        <w:t>wersje raport</w:t>
      </w:r>
      <w:r>
        <w:rPr>
          <w:rFonts w:asciiTheme="minorHAnsi" w:hAnsiTheme="minorHAnsi"/>
          <w:noProof/>
          <w:sz w:val="20"/>
          <w:szCs w:val="20"/>
        </w:rPr>
        <w:t>u</w:t>
      </w:r>
      <w:r w:rsidR="00D35A70" w:rsidRPr="0038330C">
        <w:rPr>
          <w:rFonts w:asciiTheme="minorHAnsi" w:hAnsiTheme="minorHAnsi"/>
          <w:noProof/>
          <w:sz w:val="20"/>
          <w:szCs w:val="20"/>
        </w:rPr>
        <w:t xml:space="preserve"> </w:t>
      </w:r>
      <w:r>
        <w:rPr>
          <w:rFonts w:asciiTheme="minorHAnsi" w:hAnsiTheme="minorHAnsi"/>
          <w:noProof/>
          <w:sz w:val="20"/>
          <w:szCs w:val="20"/>
        </w:rPr>
        <w:t>skonsolidowanego raportu</w:t>
      </w:r>
      <w:r w:rsidR="00D35A70" w:rsidRPr="0038330C">
        <w:rPr>
          <w:rFonts w:asciiTheme="minorHAnsi" w:hAnsiTheme="minorHAnsi"/>
          <w:noProof/>
          <w:sz w:val="20"/>
          <w:szCs w:val="20"/>
        </w:rPr>
        <w:t xml:space="preserve"> wraz ze sprawozdaniami finansowymi</w:t>
      </w:r>
      <w:r w:rsidR="00317B6E" w:rsidRPr="0038330C">
        <w:rPr>
          <w:rFonts w:asciiTheme="minorHAnsi" w:hAnsiTheme="minorHAnsi"/>
          <w:noProof/>
          <w:sz w:val="20"/>
          <w:szCs w:val="20"/>
        </w:rPr>
        <w:t xml:space="preserve"> </w:t>
      </w:r>
      <w:r w:rsidR="00D35A70" w:rsidRPr="0038330C">
        <w:rPr>
          <w:rFonts w:asciiTheme="minorHAnsi" w:hAnsiTheme="minorHAnsi"/>
          <w:noProof/>
          <w:sz w:val="20"/>
          <w:szCs w:val="20"/>
        </w:rPr>
        <w:t>znajduj</w:t>
      </w:r>
      <w:r>
        <w:rPr>
          <w:rFonts w:asciiTheme="minorHAnsi" w:hAnsiTheme="minorHAnsi"/>
          <w:noProof/>
          <w:sz w:val="20"/>
          <w:szCs w:val="20"/>
        </w:rPr>
        <w:t>e</w:t>
      </w:r>
      <w:r w:rsidR="00D35A70" w:rsidRPr="0038330C">
        <w:rPr>
          <w:rFonts w:asciiTheme="minorHAnsi" w:hAnsiTheme="minorHAnsi"/>
          <w:noProof/>
          <w:sz w:val="20"/>
          <w:szCs w:val="20"/>
        </w:rPr>
        <w:t xml:space="preserve"> się </w:t>
      </w:r>
      <w:r w:rsidR="00317B6E" w:rsidRPr="0038330C">
        <w:rPr>
          <w:rFonts w:asciiTheme="minorHAnsi" w:hAnsiTheme="minorHAnsi"/>
          <w:noProof/>
          <w:sz w:val="20"/>
          <w:szCs w:val="20"/>
        </w:rPr>
        <w:t xml:space="preserve">na </w:t>
      </w:r>
      <w:hyperlink r:id="rId9" w:history="1">
        <w:r w:rsidR="00317B6E" w:rsidRPr="0038330C">
          <w:rPr>
            <w:rStyle w:val="Hipercze"/>
            <w:rFonts w:asciiTheme="minorHAnsi" w:hAnsiTheme="minorHAnsi"/>
            <w:noProof/>
            <w:sz w:val="20"/>
            <w:szCs w:val="20"/>
          </w:rPr>
          <w:t>www.lug.com.pl</w:t>
        </w:r>
      </w:hyperlink>
      <w:r w:rsidR="005D4324">
        <w:rPr>
          <w:rStyle w:val="Hipercze"/>
          <w:rFonts w:asciiTheme="minorHAnsi" w:hAnsiTheme="minorHAnsi"/>
          <w:noProof/>
          <w:sz w:val="20"/>
          <w:szCs w:val="20"/>
        </w:rPr>
        <w:t xml:space="preserve">. </w:t>
      </w:r>
      <w:r w:rsidR="00C73B48" w:rsidRPr="005D4324">
        <w:rPr>
          <w:rFonts w:asciiTheme="minorHAnsi" w:hAnsiTheme="minorHAnsi" w:cstheme="minorHAnsi"/>
          <w:bCs/>
          <w:sz w:val="20"/>
          <w:szCs w:val="22"/>
        </w:rPr>
        <w:t xml:space="preserve">Dane przedstawione w  </w:t>
      </w:r>
      <w:r w:rsidR="00C73B48" w:rsidRPr="005D4324">
        <w:rPr>
          <w:rFonts w:asciiTheme="minorHAnsi" w:hAnsiTheme="minorHAnsi" w:cstheme="minorHAnsi"/>
          <w:noProof/>
          <w:sz w:val="20"/>
          <w:szCs w:val="22"/>
        </w:rPr>
        <w:t>S</w:t>
      </w:r>
      <w:r w:rsidR="00C73B48" w:rsidRPr="005D4324">
        <w:rPr>
          <w:rFonts w:asciiTheme="minorHAnsi" w:hAnsiTheme="minorHAnsi" w:cstheme="minorHAnsi"/>
          <w:noProof/>
          <w:sz w:val="20"/>
          <w:szCs w:val="22"/>
        </w:rPr>
        <w:t>konsolidowany rapor</w:t>
      </w:r>
      <w:r w:rsidR="00C73B48" w:rsidRPr="005D4324">
        <w:rPr>
          <w:rFonts w:asciiTheme="minorHAnsi" w:hAnsiTheme="minorHAnsi" w:cstheme="minorHAnsi"/>
          <w:noProof/>
          <w:sz w:val="20"/>
          <w:szCs w:val="22"/>
        </w:rPr>
        <w:t>cie</w:t>
      </w:r>
      <w:r w:rsidR="00C73B48" w:rsidRPr="005D4324">
        <w:rPr>
          <w:rFonts w:asciiTheme="minorHAnsi" w:hAnsiTheme="minorHAnsi" w:cstheme="minorHAnsi"/>
          <w:noProof/>
          <w:sz w:val="20"/>
          <w:szCs w:val="22"/>
        </w:rPr>
        <w:t xml:space="preserve"> Grupy Kapitałowej LUG S.A. za 4Q’2016 rok</w:t>
      </w:r>
      <w:r w:rsidR="00C73B48" w:rsidRPr="005D4324">
        <w:rPr>
          <w:rFonts w:asciiTheme="minorHAnsi" w:hAnsiTheme="minorHAnsi" w:cstheme="minorHAnsi"/>
          <w:noProof/>
          <w:sz w:val="20"/>
          <w:szCs w:val="22"/>
        </w:rPr>
        <w:t xml:space="preserve"> zostaną poddane badaniu Biegłego Rewidenta.</w:t>
      </w:r>
    </w:p>
    <w:p w:rsidR="005D4324" w:rsidRDefault="005D4324" w:rsidP="00247D11">
      <w:pPr>
        <w:pStyle w:val="Text"/>
        <w:spacing w:after="0" w:line="240" w:lineRule="auto"/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:rsidR="005D4324" w:rsidRPr="00050940" w:rsidRDefault="005D4324" w:rsidP="005D432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color w:val="000000"/>
          <w:sz w:val="22"/>
        </w:rPr>
      </w:pPr>
      <w:r w:rsidRPr="009D671D">
        <w:rPr>
          <w:rFonts w:asciiTheme="minorHAnsi" w:hAnsiTheme="minorHAnsi" w:cstheme="minorHAnsi"/>
          <w:sz w:val="22"/>
        </w:rPr>
        <w:t xml:space="preserve">Styczeń oprócz pozytywnych wyników finansowych przyniósł Emitentowi również </w:t>
      </w:r>
      <w:r>
        <w:rPr>
          <w:rFonts w:asciiTheme="minorHAnsi" w:hAnsiTheme="minorHAnsi" w:cstheme="minorHAnsi"/>
          <w:sz w:val="22"/>
        </w:rPr>
        <w:t xml:space="preserve">sukces w prestiżowym </w:t>
      </w:r>
      <w:r w:rsidRPr="00050940">
        <w:rPr>
          <w:rFonts w:ascii="Calibri" w:hAnsi="Calibri" w:cs="Arial"/>
          <w:color w:val="000000"/>
          <w:sz w:val="22"/>
        </w:rPr>
        <w:t xml:space="preserve">konkursie </w:t>
      </w:r>
      <w:proofErr w:type="spellStart"/>
      <w:r w:rsidRPr="00050940">
        <w:rPr>
          <w:rStyle w:val="Pogrubienie"/>
          <w:rFonts w:ascii="Calibri" w:hAnsi="Calibri" w:cs="Arial"/>
          <w:b w:val="0"/>
          <w:color w:val="000000"/>
          <w:sz w:val="22"/>
        </w:rPr>
        <w:t>iF</w:t>
      </w:r>
      <w:proofErr w:type="spellEnd"/>
      <w:r w:rsidRPr="00050940">
        <w:rPr>
          <w:rStyle w:val="Pogrubienie"/>
          <w:rFonts w:ascii="Calibri" w:hAnsi="Calibri" w:cs="Arial"/>
          <w:b w:val="0"/>
          <w:color w:val="000000"/>
          <w:sz w:val="22"/>
        </w:rPr>
        <w:t xml:space="preserve"> DESIGN AWARD</w:t>
      </w:r>
      <w:r w:rsidRPr="00050940">
        <w:rPr>
          <w:rFonts w:ascii="Calibri" w:hAnsi="Calibri" w:cs="Arial"/>
          <w:b/>
          <w:color w:val="000000"/>
          <w:sz w:val="22"/>
        </w:rPr>
        <w:t>.</w:t>
      </w:r>
      <w:r>
        <w:rPr>
          <w:rFonts w:ascii="Calibri" w:hAnsi="Calibri" w:cs="Arial"/>
          <w:b/>
          <w:color w:val="000000"/>
          <w:sz w:val="22"/>
        </w:rPr>
        <w:t xml:space="preserve"> </w:t>
      </w:r>
      <w:r>
        <w:rPr>
          <w:rFonts w:ascii="Calibri" w:hAnsi="Calibri" w:cs="Arial"/>
          <w:color w:val="000000"/>
          <w:sz w:val="22"/>
        </w:rPr>
        <w:t xml:space="preserve">Od ponad 60 lat logo </w:t>
      </w:r>
      <w:proofErr w:type="spellStart"/>
      <w:r>
        <w:rPr>
          <w:rFonts w:ascii="Calibri" w:hAnsi="Calibri" w:cs="Arial"/>
          <w:color w:val="000000"/>
          <w:sz w:val="22"/>
        </w:rPr>
        <w:t>iF</w:t>
      </w:r>
      <w:proofErr w:type="spellEnd"/>
      <w:r>
        <w:rPr>
          <w:rFonts w:ascii="Calibri" w:hAnsi="Calibri" w:cs="Arial"/>
          <w:color w:val="000000"/>
          <w:sz w:val="22"/>
        </w:rPr>
        <w:t xml:space="preserve"> DESIGN AWARD jest uznanym na arenie międzynarodowej symbolem największych osiągnięć w dziedzinie wzornictwa przemysłowego.  </w:t>
      </w:r>
      <w:r>
        <w:rPr>
          <w:rFonts w:ascii="Calibri" w:hAnsi="Calibri" w:cs="Arial"/>
          <w:color w:val="000000"/>
          <w:sz w:val="22"/>
        </w:rPr>
        <w:br/>
      </w:r>
      <w:r>
        <w:rPr>
          <w:rFonts w:ascii="Calibri" w:hAnsi="Calibri" w:cs="Arial"/>
          <w:color w:val="000000"/>
          <w:sz w:val="22"/>
        </w:rPr>
        <w:lastRenderedPageBreak/>
        <w:t>O wyborze laureatów decyduje blisko 60 cenionych specjalistów z ponad 20 krajów w oparciu o jasno określone kryteria.</w:t>
      </w:r>
    </w:p>
    <w:p w:rsidR="005D4324" w:rsidRDefault="005D4324" w:rsidP="005D432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b/>
          <w:color w:val="000000"/>
          <w:sz w:val="22"/>
        </w:rPr>
      </w:pPr>
    </w:p>
    <w:p w:rsidR="005D4324" w:rsidRPr="005D4324" w:rsidRDefault="005D4324" w:rsidP="005D432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i/>
          <w:color w:val="000000"/>
          <w:sz w:val="22"/>
        </w:rPr>
      </w:pPr>
      <w:r>
        <w:rPr>
          <w:rFonts w:ascii="Calibri" w:hAnsi="Calibri" w:cs="Arial"/>
          <w:color w:val="000000"/>
          <w:sz w:val="22"/>
        </w:rPr>
        <w:t xml:space="preserve">- </w:t>
      </w:r>
      <w:r w:rsidRPr="00050940">
        <w:rPr>
          <w:rFonts w:ascii="Calibri" w:hAnsi="Calibri" w:cs="Arial"/>
          <w:i/>
          <w:color w:val="000000"/>
          <w:sz w:val="22"/>
        </w:rPr>
        <w:t xml:space="preserve">Nagroda cieszy nas tym bardziej, że to już nasze drugie wyróżnienie w </w:t>
      </w:r>
      <w:r>
        <w:rPr>
          <w:rFonts w:ascii="Calibri" w:hAnsi="Calibri" w:cs="Arial"/>
          <w:i/>
          <w:color w:val="000000"/>
          <w:sz w:val="22"/>
        </w:rPr>
        <w:t xml:space="preserve">tym prestiżowym konkursie. Po zeszłorocznym zwycięstwie oprawy </w:t>
      </w:r>
      <w:proofErr w:type="spellStart"/>
      <w:r>
        <w:rPr>
          <w:rFonts w:ascii="Calibri" w:hAnsi="Calibri" w:cs="Arial"/>
          <w:i/>
          <w:color w:val="000000"/>
          <w:sz w:val="22"/>
        </w:rPr>
        <w:t>PowerLUG</w:t>
      </w:r>
      <w:proofErr w:type="spellEnd"/>
      <w:r>
        <w:rPr>
          <w:rFonts w:ascii="Calibri" w:hAnsi="Calibri" w:cs="Arial"/>
          <w:i/>
          <w:color w:val="000000"/>
          <w:sz w:val="22"/>
        </w:rPr>
        <w:t xml:space="preserve"> LED, w tym roku </w:t>
      </w:r>
      <w:r w:rsidRPr="005D4324">
        <w:rPr>
          <w:rFonts w:ascii="Calibri" w:hAnsi="Calibri" w:cs="Arial"/>
          <w:i/>
          <w:color w:val="000000"/>
          <w:sz w:val="22"/>
        </w:rPr>
        <w:t>oprawa przemysłowa CRUISER 2 LED została laureatem konkursu w k</w:t>
      </w:r>
      <w:r>
        <w:rPr>
          <w:rFonts w:ascii="Calibri" w:hAnsi="Calibri" w:cs="Arial"/>
          <w:i/>
          <w:color w:val="000000"/>
          <w:sz w:val="22"/>
        </w:rPr>
        <w:t xml:space="preserve">ategorii Produkty Oświetleniowe – </w:t>
      </w:r>
      <w:r w:rsidRPr="005D4324">
        <w:rPr>
          <w:rFonts w:ascii="Calibri" w:hAnsi="Calibri" w:cs="Arial"/>
          <w:color w:val="000000"/>
          <w:sz w:val="22"/>
        </w:rPr>
        <w:t xml:space="preserve">wyjaśnia Ryszard </w:t>
      </w:r>
      <w:proofErr w:type="spellStart"/>
      <w:r w:rsidRPr="005D4324">
        <w:rPr>
          <w:rFonts w:ascii="Calibri" w:hAnsi="Calibri" w:cs="Arial"/>
          <w:color w:val="000000"/>
          <w:sz w:val="22"/>
        </w:rPr>
        <w:t>Wtorkowski</w:t>
      </w:r>
      <w:proofErr w:type="spellEnd"/>
      <w:r>
        <w:rPr>
          <w:rFonts w:ascii="Calibri" w:hAnsi="Calibri" w:cs="Arial"/>
          <w:i/>
          <w:color w:val="000000"/>
          <w:sz w:val="22"/>
        </w:rPr>
        <w:t>.</w:t>
      </w:r>
    </w:p>
    <w:p w:rsidR="005D4324" w:rsidRDefault="005D4324" w:rsidP="005D432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color w:val="000000"/>
          <w:sz w:val="22"/>
        </w:rPr>
      </w:pPr>
    </w:p>
    <w:p w:rsidR="009C2540" w:rsidRDefault="009C2540" w:rsidP="005D432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color w:val="000000"/>
          <w:sz w:val="22"/>
        </w:rPr>
      </w:pPr>
      <w:bookmarkStart w:id="0" w:name="_GoBack"/>
      <w:bookmarkEnd w:id="0"/>
    </w:p>
    <w:p w:rsidR="00247D11" w:rsidRPr="0038330C" w:rsidRDefault="009C2540" w:rsidP="00247D11">
      <w:pPr>
        <w:pStyle w:val="Text"/>
        <w:spacing w:after="0" w:line="240" w:lineRule="auto"/>
        <w:jc w:val="both"/>
        <w:rPr>
          <w:rFonts w:asciiTheme="minorHAnsi" w:hAnsiTheme="minorHAnsi" w:cs="Tahoma"/>
          <w:bCs/>
          <w:sz w:val="20"/>
          <w:szCs w:val="20"/>
        </w:rPr>
      </w:pPr>
      <w:r>
        <w:rPr>
          <w:rFonts w:asciiTheme="minorHAnsi" w:hAnsiTheme="minorHAnsi" w:cs="Tahoma"/>
          <w:b/>
          <w:bCs/>
          <w:sz w:val="20"/>
          <w:szCs w:val="20"/>
        </w:rPr>
        <w:t>L</w:t>
      </w:r>
      <w:r w:rsidR="00247D11" w:rsidRPr="0038330C">
        <w:rPr>
          <w:rFonts w:asciiTheme="minorHAnsi" w:hAnsiTheme="minorHAnsi" w:cs="Tahoma"/>
          <w:b/>
          <w:bCs/>
          <w:sz w:val="20"/>
          <w:szCs w:val="20"/>
        </w:rPr>
        <w:t xml:space="preserve">UG S.A. </w:t>
      </w:r>
      <w:r w:rsidR="00247D11" w:rsidRPr="0038330C">
        <w:rPr>
          <w:rFonts w:asciiTheme="minorHAnsi" w:hAnsiTheme="minorHAnsi" w:cs="Tahoma"/>
          <w:bCs/>
          <w:sz w:val="20"/>
          <w:szCs w:val="20"/>
        </w:rPr>
        <w:t xml:space="preserve">to spółka holdingowa Grupy Kapitałowej LUG S.A. – jednego z czołowych europejskich producentów profesjonalnych rozwiązań oświetleniowych. Grupa sprzedaje swoje produkty w Polsce oraz w kilkudziesięciu krajach na całym świecie. Posiadająca 26 lat doświadczenia firma z siedzibą w Zielonej Górze, od 2008 roku funkcjonuje jako Grupa Kapitałowa. W jej skład wchodzą: LUG S.A., LUG Light Factory Sp. z o.o., LUG GmbH, LUG do </w:t>
      </w:r>
      <w:proofErr w:type="spellStart"/>
      <w:r w:rsidR="00247D11" w:rsidRPr="0038330C">
        <w:rPr>
          <w:rFonts w:asciiTheme="minorHAnsi" w:hAnsiTheme="minorHAnsi" w:cs="Tahoma"/>
          <w:bCs/>
          <w:sz w:val="20"/>
          <w:szCs w:val="20"/>
        </w:rPr>
        <w:t>Brazil</w:t>
      </w:r>
      <w:proofErr w:type="spellEnd"/>
      <w:r w:rsidR="00247D11" w:rsidRPr="0038330C">
        <w:rPr>
          <w:rFonts w:asciiTheme="minorHAnsi" w:hAnsiTheme="minorHAnsi" w:cs="Tahoma"/>
          <w:bCs/>
          <w:sz w:val="20"/>
          <w:szCs w:val="20"/>
        </w:rPr>
        <w:t xml:space="preserve"> </w:t>
      </w:r>
      <w:proofErr w:type="spellStart"/>
      <w:r w:rsidR="00247D11" w:rsidRPr="0038330C">
        <w:rPr>
          <w:rFonts w:asciiTheme="minorHAnsi" w:hAnsiTheme="minorHAnsi" w:cs="Tahoma"/>
          <w:bCs/>
          <w:sz w:val="20"/>
          <w:szCs w:val="20"/>
        </w:rPr>
        <w:t>Ltda</w:t>
      </w:r>
      <w:proofErr w:type="spellEnd"/>
      <w:r w:rsidR="00247D11" w:rsidRPr="0038330C">
        <w:rPr>
          <w:rFonts w:asciiTheme="minorHAnsi" w:hAnsiTheme="minorHAnsi" w:cs="Tahoma"/>
          <w:bCs/>
          <w:sz w:val="20"/>
          <w:szCs w:val="20"/>
        </w:rPr>
        <w:t xml:space="preserve">, LUG </w:t>
      </w:r>
      <w:proofErr w:type="spellStart"/>
      <w:r w:rsidR="00247D11" w:rsidRPr="0038330C">
        <w:rPr>
          <w:rFonts w:asciiTheme="minorHAnsi" w:hAnsiTheme="minorHAnsi" w:cs="Tahoma"/>
          <w:bCs/>
          <w:sz w:val="20"/>
          <w:szCs w:val="20"/>
        </w:rPr>
        <w:t>Lighting</w:t>
      </w:r>
      <w:proofErr w:type="spellEnd"/>
      <w:r w:rsidR="00247D11" w:rsidRPr="0038330C">
        <w:rPr>
          <w:rFonts w:asciiTheme="minorHAnsi" w:hAnsiTheme="minorHAnsi" w:cs="Tahoma"/>
          <w:bCs/>
          <w:sz w:val="20"/>
          <w:szCs w:val="20"/>
        </w:rPr>
        <w:t xml:space="preserve"> UK Ltd.  oraz TOW LUG Ukraina. LUG S.A. od listopada 2007 roku jest notowana na rynku </w:t>
      </w:r>
      <w:proofErr w:type="spellStart"/>
      <w:r w:rsidR="00247D11" w:rsidRPr="0038330C">
        <w:rPr>
          <w:rFonts w:asciiTheme="minorHAnsi" w:hAnsiTheme="minorHAnsi" w:cs="Tahoma"/>
          <w:bCs/>
          <w:sz w:val="20"/>
          <w:szCs w:val="20"/>
        </w:rPr>
        <w:t>NewConnect</w:t>
      </w:r>
      <w:proofErr w:type="spellEnd"/>
      <w:r w:rsidR="00247D11" w:rsidRPr="0038330C">
        <w:rPr>
          <w:rFonts w:asciiTheme="minorHAnsi" w:hAnsiTheme="minorHAnsi" w:cs="Tahoma"/>
          <w:bCs/>
          <w:sz w:val="20"/>
          <w:szCs w:val="20"/>
        </w:rPr>
        <w:t xml:space="preserve"> zarządzanym przez warszawską GPW. Więcej informacji: </w:t>
      </w:r>
      <w:hyperlink r:id="rId10" w:history="1">
        <w:r w:rsidR="00247D11" w:rsidRPr="0038330C">
          <w:rPr>
            <w:rStyle w:val="Hipercze"/>
            <w:rFonts w:asciiTheme="minorHAnsi" w:hAnsiTheme="minorHAnsi" w:cs="Tahoma"/>
            <w:bCs/>
            <w:sz w:val="20"/>
            <w:szCs w:val="20"/>
          </w:rPr>
          <w:t>www.lug.com.pl</w:t>
        </w:r>
      </w:hyperlink>
    </w:p>
    <w:p w:rsidR="00247D11" w:rsidRDefault="00247D11" w:rsidP="00DF5F51">
      <w:pPr>
        <w:rPr>
          <w:rFonts w:ascii="Calibri" w:hAnsi="Calibri"/>
          <w:noProof/>
          <w:szCs w:val="22"/>
        </w:rPr>
      </w:pPr>
    </w:p>
    <w:p w:rsidR="00247D11" w:rsidRPr="0038330C" w:rsidRDefault="00317B6E" w:rsidP="00DF5F51">
      <w:pPr>
        <w:rPr>
          <w:rFonts w:asciiTheme="minorHAnsi" w:hAnsiTheme="minorHAnsi"/>
          <w:b/>
          <w:sz w:val="20"/>
          <w:szCs w:val="20"/>
        </w:rPr>
      </w:pPr>
      <w:r w:rsidRPr="0038330C">
        <w:rPr>
          <w:rFonts w:asciiTheme="minorHAnsi" w:hAnsiTheme="minorHAnsi"/>
          <w:b/>
          <w:sz w:val="20"/>
          <w:szCs w:val="20"/>
        </w:rPr>
        <w:t>Kontakt dla mediów i inwestorów:</w:t>
      </w:r>
    </w:p>
    <w:p w:rsidR="00317B6E" w:rsidRPr="0038330C" w:rsidRDefault="00317B6E" w:rsidP="00DF5F51">
      <w:pPr>
        <w:rPr>
          <w:rFonts w:asciiTheme="minorHAnsi" w:hAnsiTheme="minorHAnsi"/>
          <w:sz w:val="20"/>
          <w:szCs w:val="20"/>
        </w:rPr>
      </w:pPr>
    </w:p>
    <w:p w:rsidR="00317B6E" w:rsidRPr="0038330C" w:rsidRDefault="00317B6E" w:rsidP="00DF5F51">
      <w:pPr>
        <w:rPr>
          <w:rFonts w:asciiTheme="minorHAnsi" w:hAnsiTheme="minorHAnsi"/>
          <w:b/>
          <w:sz w:val="20"/>
          <w:szCs w:val="20"/>
        </w:rPr>
      </w:pPr>
      <w:r w:rsidRPr="0038330C">
        <w:rPr>
          <w:rFonts w:asciiTheme="minorHAnsi" w:hAnsiTheme="minorHAnsi"/>
          <w:b/>
          <w:sz w:val="20"/>
          <w:szCs w:val="20"/>
        </w:rPr>
        <w:t>Monika Bartoszak</w:t>
      </w:r>
    </w:p>
    <w:p w:rsidR="00317B6E" w:rsidRPr="0038330C" w:rsidRDefault="00317B6E" w:rsidP="00DF5F51">
      <w:pPr>
        <w:rPr>
          <w:rFonts w:asciiTheme="minorHAnsi" w:hAnsiTheme="minorHAnsi"/>
          <w:sz w:val="20"/>
          <w:szCs w:val="20"/>
        </w:rPr>
      </w:pPr>
      <w:r w:rsidRPr="0038330C">
        <w:rPr>
          <w:rFonts w:asciiTheme="minorHAnsi" w:hAnsiTheme="minorHAnsi"/>
          <w:sz w:val="20"/>
          <w:szCs w:val="20"/>
        </w:rPr>
        <w:t>+48 510 183 993</w:t>
      </w:r>
    </w:p>
    <w:p w:rsidR="00317B6E" w:rsidRPr="0038330C" w:rsidRDefault="003C13EA" w:rsidP="00317B6E">
      <w:pPr>
        <w:rPr>
          <w:rFonts w:asciiTheme="minorHAnsi" w:hAnsiTheme="minorHAnsi"/>
          <w:sz w:val="20"/>
          <w:szCs w:val="20"/>
        </w:rPr>
      </w:pPr>
      <w:hyperlink r:id="rId11" w:history="1">
        <w:r w:rsidR="00317B6E" w:rsidRPr="0038330C">
          <w:rPr>
            <w:rStyle w:val="Hipercze"/>
            <w:rFonts w:asciiTheme="minorHAnsi" w:hAnsiTheme="minorHAnsi"/>
            <w:sz w:val="20"/>
            <w:szCs w:val="20"/>
          </w:rPr>
          <w:t>monika.bartoszak@lug.com.pl</w:t>
        </w:r>
      </w:hyperlink>
    </w:p>
    <w:p w:rsidR="00803F08" w:rsidRPr="0038330C" w:rsidRDefault="003C13EA" w:rsidP="00DF5F51">
      <w:pPr>
        <w:rPr>
          <w:rFonts w:asciiTheme="minorHAnsi" w:hAnsiTheme="minorHAnsi"/>
          <w:sz w:val="20"/>
          <w:szCs w:val="20"/>
        </w:rPr>
      </w:pPr>
      <w:hyperlink r:id="rId12" w:history="1">
        <w:r w:rsidR="00317B6E" w:rsidRPr="0038330C">
          <w:rPr>
            <w:rStyle w:val="Hipercze"/>
            <w:rFonts w:asciiTheme="minorHAnsi" w:hAnsiTheme="minorHAnsi"/>
            <w:sz w:val="20"/>
            <w:szCs w:val="20"/>
          </w:rPr>
          <w:t>relacje@lug.com.pl</w:t>
        </w:r>
      </w:hyperlink>
    </w:p>
    <w:sectPr w:rsidR="00803F08" w:rsidRPr="0038330C" w:rsidSect="0012404D">
      <w:headerReference w:type="default" r:id="rId13"/>
      <w:footerReference w:type="default" r:id="rId14"/>
      <w:pgSz w:w="11906" w:h="16838" w:code="9"/>
      <w:pgMar w:top="1418" w:right="1304" w:bottom="1418" w:left="1304" w:header="1077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3EA" w:rsidRDefault="003C13EA">
      <w:r>
        <w:separator/>
      </w:r>
    </w:p>
  </w:endnote>
  <w:endnote w:type="continuationSeparator" w:id="0">
    <w:p w:rsidR="003C13EA" w:rsidRDefault="003C1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Pl">
    <w:altName w:val="Courier New"/>
    <w:charset w:val="EE"/>
    <w:family w:val="auto"/>
    <w:pitch w:val="variable"/>
    <w:sig w:usb0="00000001" w:usb1="0000004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8B1" w:rsidRPr="001000FF" w:rsidRDefault="00CF47ED">
    <w:pPr>
      <w:pStyle w:val="Stopka"/>
    </w:pPr>
    <w:r>
      <w:rPr>
        <w:noProof/>
      </w:rPr>
      <w:drawing>
        <wp:inline distT="0" distB="0" distL="0" distR="0" wp14:anchorId="0A133BD6" wp14:editId="1EEB40F5">
          <wp:extent cx="5924550" cy="581025"/>
          <wp:effectExtent l="0" t="0" r="0" b="9525"/>
          <wp:docPr id="2" name="Obraz 2" descr="Kopia_zapasowa_LUG papier firmowy_light facto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opia_zapasowa_LUG papier firmowy_light facto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3EA" w:rsidRDefault="003C13EA">
      <w:r>
        <w:separator/>
      </w:r>
    </w:p>
  </w:footnote>
  <w:footnote w:type="continuationSeparator" w:id="0">
    <w:p w:rsidR="003C13EA" w:rsidRDefault="003C1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281" w:rsidRPr="00A83E2A" w:rsidRDefault="00CF47ED">
    <w:pPr>
      <w:pStyle w:val="Nagwek"/>
    </w:pPr>
    <w:r>
      <w:rPr>
        <w:noProof/>
      </w:rPr>
      <w:drawing>
        <wp:inline distT="0" distB="0" distL="0" distR="0" wp14:anchorId="10CB9772" wp14:editId="6D7DB199">
          <wp:extent cx="5943600" cy="552450"/>
          <wp:effectExtent l="0" t="0" r="0" b="0"/>
          <wp:docPr id="1" name="Obraz 1" descr="nagłówek_lug 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_lug 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83E2A">
      <w:t xml:space="preserve"> </w:t>
    </w:r>
    <w:r w:rsidR="005B1722">
      <w:t xml:space="preserve">        </w:t>
    </w:r>
  </w:p>
  <w:p w:rsidR="00B30281" w:rsidRPr="007858B1" w:rsidRDefault="00B30281">
    <w:pPr>
      <w:pStyle w:val="Nagwek"/>
      <w:rPr>
        <w:rFonts w:ascii="DINPl" w:hAnsi="DINPl"/>
      </w:rPr>
    </w:pPr>
    <w:r>
      <w:t xml:space="preserve">   </w:t>
    </w:r>
    <w:r w:rsidR="007858B1"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573BC"/>
    <w:multiLevelType w:val="hybridMultilevel"/>
    <w:tmpl w:val="A7D63E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F643A"/>
    <w:multiLevelType w:val="hybridMultilevel"/>
    <w:tmpl w:val="A68CC01A"/>
    <w:lvl w:ilvl="0" w:tplc="7692203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20085D42">
      <w:start w:val="1"/>
      <w:numFmt w:val="lowerLetter"/>
      <w:lvlText w:val="%2."/>
      <w:lvlJc w:val="left"/>
      <w:pPr>
        <w:ind w:left="2490" w:hanging="360"/>
      </w:pPr>
      <w:rPr>
        <w:rFonts w:ascii="Calibri" w:eastAsia="Calibri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4A8750BC"/>
    <w:multiLevelType w:val="hybridMultilevel"/>
    <w:tmpl w:val="288E4C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55202E"/>
    <w:multiLevelType w:val="hybridMultilevel"/>
    <w:tmpl w:val="F886E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557DD9"/>
    <w:multiLevelType w:val="hybridMultilevel"/>
    <w:tmpl w:val="6588AF42"/>
    <w:lvl w:ilvl="0" w:tplc="DB76EDB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B46707"/>
    <w:multiLevelType w:val="hybridMultilevel"/>
    <w:tmpl w:val="BD341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48E"/>
    <w:rsid w:val="00005541"/>
    <w:rsid w:val="00006765"/>
    <w:rsid w:val="00026392"/>
    <w:rsid w:val="00050940"/>
    <w:rsid w:val="00055E7D"/>
    <w:rsid w:val="000642FA"/>
    <w:rsid w:val="00070395"/>
    <w:rsid w:val="000821FE"/>
    <w:rsid w:val="000C341D"/>
    <w:rsid w:val="000F0201"/>
    <w:rsid w:val="001000FF"/>
    <w:rsid w:val="00122D1E"/>
    <w:rsid w:val="0012404D"/>
    <w:rsid w:val="00124B17"/>
    <w:rsid w:val="0016578C"/>
    <w:rsid w:val="001B34CA"/>
    <w:rsid w:val="001D0402"/>
    <w:rsid w:val="0021240B"/>
    <w:rsid w:val="00220A66"/>
    <w:rsid w:val="00244B02"/>
    <w:rsid w:val="00245355"/>
    <w:rsid w:val="00247D11"/>
    <w:rsid w:val="002515FF"/>
    <w:rsid w:val="00262876"/>
    <w:rsid w:val="002831AB"/>
    <w:rsid w:val="00284FD0"/>
    <w:rsid w:val="002942A2"/>
    <w:rsid w:val="002A7D41"/>
    <w:rsid w:val="002B0413"/>
    <w:rsid w:val="002F1F4B"/>
    <w:rsid w:val="00317B6E"/>
    <w:rsid w:val="00334FB5"/>
    <w:rsid w:val="00346F57"/>
    <w:rsid w:val="003517A2"/>
    <w:rsid w:val="00363E52"/>
    <w:rsid w:val="003652F4"/>
    <w:rsid w:val="00380E61"/>
    <w:rsid w:val="0038330C"/>
    <w:rsid w:val="003B030B"/>
    <w:rsid w:val="003C13EA"/>
    <w:rsid w:val="003E4A26"/>
    <w:rsid w:val="003F23F4"/>
    <w:rsid w:val="004408D7"/>
    <w:rsid w:val="004414C7"/>
    <w:rsid w:val="00454A31"/>
    <w:rsid w:val="00472E4B"/>
    <w:rsid w:val="0048024F"/>
    <w:rsid w:val="004C6C4C"/>
    <w:rsid w:val="00531831"/>
    <w:rsid w:val="005766D8"/>
    <w:rsid w:val="00594221"/>
    <w:rsid w:val="00596088"/>
    <w:rsid w:val="005B1722"/>
    <w:rsid w:val="005D4324"/>
    <w:rsid w:val="005F766A"/>
    <w:rsid w:val="005F792F"/>
    <w:rsid w:val="006217BE"/>
    <w:rsid w:val="00640F6F"/>
    <w:rsid w:val="0064474D"/>
    <w:rsid w:val="00655997"/>
    <w:rsid w:val="00664A2A"/>
    <w:rsid w:val="006945E8"/>
    <w:rsid w:val="006A44D3"/>
    <w:rsid w:val="006C20C0"/>
    <w:rsid w:val="006D4AE3"/>
    <w:rsid w:val="006E4CD1"/>
    <w:rsid w:val="00711192"/>
    <w:rsid w:val="00743F62"/>
    <w:rsid w:val="00763BF0"/>
    <w:rsid w:val="00770619"/>
    <w:rsid w:val="007858B1"/>
    <w:rsid w:val="00797672"/>
    <w:rsid w:val="007B2AD5"/>
    <w:rsid w:val="007B2B71"/>
    <w:rsid w:val="007C4322"/>
    <w:rsid w:val="007D2789"/>
    <w:rsid w:val="007F64A8"/>
    <w:rsid w:val="00803F08"/>
    <w:rsid w:val="00804521"/>
    <w:rsid w:val="00830F20"/>
    <w:rsid w:val="00857013"/>
    <w:rsid w:val="008A2022"/>
    <w:rsid w:val="008B35AA"/>
    <w:rsid w:val="00935224"/>
    <w:rsid w:val="00962956"/>
    <w:rsid w:val="009925F8"/>
    <w:rsid w:val="009B44EA"/>
    <w:rsid w:val="009C2540"/>
    <w:rsid w:val="009D2D2C"/>
    <w:rsid w:val="009D671D"/>
    <w:rsid w:val="009E64B9"/>
    <w:rsid w:val="009F15B8"/>
    <w:rsid w:val="00A00411"/>
    <w:rsid w:val="00A060DB"/>
    <w:rsid w:val="00A274FD"/>
    <w:rsid w:val="00A55F77"/>
    <w:rsid w:val="00A83E2A"/>
    <w:rsid w:val="00A955BD"/>
    <w:rsid w:val="00A963AF"/>
    <w:rsid w:val="00AC3A6A"/>
    <w:rsid w:val="00AD031A"/>
    <w:rsid w:val="00AD3614"/>
    <w:rsid w:val="00AE2DD1"/>
    <w:rsid w:val="00AE457F"/>
    <w:rsid w:val="00B045AF"/>
    <w:rsid w:val="00B04E7C"/>
    <w:rsid w:val="00B15E8C"/>
    <w:rsid w:val="00B20D15"/>
    <w:rsid w:val="00B30281"/>
    <w:rsid w:val="00B40872"/>
    <w:rsid w:val="00B4241E"/>
    <w:rsid w:val="00B43CB9"/>
    <w:rsid w:val="00B77EA1"/>
    <w:rsid w:val="00BE3CB3"/>
    <w:rsid w:val="00BE580E"/>
    <w:rsid w:val="00C02204"/>
    <w:rsid w:val="00C10C96"/>
    <w:rsid w:val="00C42EBB"/>
    <w:rsid w:val="00C44584"/>
    <w:rsid w:val="00C55A35"/>
    <w:rsid w:val="00C73B48"/>
    <w:rsid w:val="00CA1313"/>
    <w:rsid w:val="00CD36E9"/>
    <w:rsid w:val="00CE3245"/>
    <w:rsid w:val="00CF43E2"/>
    <w:rsid w:val="00CF47ED"/>
    <w:rsid w:val="00D004F3"/>
    <w:rsid w:val="00D2390D"/>
    <w:rsid w:val="00D34946"/>
    <w:rsid w:val="00D35A70"/>
    <w:rsid w:val="00D4158A"/>
    <w:rsid w:val="00D444D8"/>
    <w:rsid w:val="00D47BF0"/>
    <w:rsid w:val="00D567A2"/>
    <w:rsid w:val="00D5748E"/>
    <w:rsid w:val="00D72FA5"/>
    <w:rsid w:val="00DA0BF5"/>
    <w:rsid w:val="00DF5F51"/>
    <w:rsid w:val="00E2706C"/>
    <w:rsid w:val="00E93A15"/>
    <w:rsid w:val="00E95E8B"/>
    <w:rsid w:val="00EE36C2"/>
    <w:rsid w:val="00F1031D"/>
    <w:rsid w:val="00FC2588"/>
    <w:rsid w:val="00FD155D"/>
    <w:rsid w:val="00FD3C5C"/>
    <w:rsid w:val="00FD451E"/>
    <w:rsid w:val="00FD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5B970D"/>
  <w15:docId w15:val="{3B22068F-0FE1-4ECF-BC0E-0B1529E11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302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3028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30281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unhideWhenUsed/>
    <w:rsid w:val="00E93A15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CE32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CE3245"/>
    <w:pPr>
      <w:spacing w:before="100" w:beforeAutospacing="1" w:after="100" w:afterAutospacing="1"/>
    </w:pPr>
  </w:style>
  <w:style w:type="character" w:customStyle="1" w:styleId="dane">
    <w:name w:val="dane"/>
    <w:basedOn w:val="Domylnaczcionkaakapitu"/>
    <w:rsid w:val="00CE324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2FA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2FA5"/>
  </w:style>
  <w:style w:type="character" w:styleId="Odwoanieprzypisukocowego">
    <w:name w:val="endnote reference"/>
    <w:basedOn w:val="Domylnaczcionkaakapitu"/>
    <w:uiPriority w:val="99"/>
    <w:semiHidden/>
    <w:unhideWhenUsed/>
    <w:rsid w:val="00D72FA5"/>
    <w:rPr>
      <w:vertAlign w:val="superscript"/>
    </w:rPr>
  </w:style>
  <w:style w:type="character" w:styleId="Pogrubienie">
    <w:name w:val="Strong"/>
    <w:uiPriority w:val="22"/>
    <w:qFormat/>
    <w:rsid w:val="0021240B"/>
    <w:rPr>
      <w:b/>
      <w:bCs/>
    </w:rPr>
  </w:style>
  <w:style w:type="character" w:customStyle="1" w:styleId="Nagwek1Znak">
    <w:name w:val="Nagłówek 1 Znak"/>
    <w:link w:val="Nagwek1"/>
    <w:rsid w:val="00D2390D"/>
    <w:rPr>
      <w:rFonts w:ascii="Arial" w:hAnsi="Arial" w:cs="Arial"/>
      <w:b/>
      <w:bCs/>
      <w:kern w:val="32"/>
      <w:sz w:val="32"/>
      <w:szCs w:val="32"/>
    </w:rPr>
  </w:style>
  <w:style w:type="character" w:customStyle="1" w:styleId="TextChar">
    <w:name w:val="Text Char"/>
    <w:link w:val="Text"/>
    <w:locked/>
    <w:rsid w:val="00D2390D"/>
    <w:rPr>
      <w:rFonts w:ascii="Century Gothic" w:hAnsi="Century Gothic"/>
      <w:sz w:val="18"/>
      <w:szCs w:val="18"/>
      <w:lang w:bidi="pl-PL"/>
    </w:rPr>
  </w:style>
  <w:style w:type="paragraph" w:customStyle="1" w:styleId="Text">
    <w:name w:val="Text"/>
    <w:basedOn w:val="Normalny"/>
    <w:link w:val="TextChar"/>
    <w:rsid w:val="00D2390D"/>
    <w:pPr>
      <w:spacing w:after="220" w:line="336" w:lineRule="auto"/>
    </w:pPr>
    <w:rPr>
      <w:rFonts w:ascii="Century Gothic" w:hAnsi="Century Gothic"/>
      <w:sz w:val="18"/>
      <w:szCs w:val="18"/>
      <w:lang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4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041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3494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F23F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3F23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elacje@lug.com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onika.bartoszak@lug.com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ug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ug.com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07B84-A688-45F3-8EFD-4D5639E32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3</Pages>
  <Words>799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lug</Company>
  <LinksUpToDate>false</LinksUpToDate>
  <CharactersWithSpaces>5588</CharactersWithSpaces>
  <SharedDoc>false</SharedDoc>
  <HLinks>
    <vt:vector size="6" baseType="variant">
      <vt:variant>
        <vt:i4>7405606</vt:i4>
      </vt:variant>
      <vt:variant>
        <vt:i4>0</vt:i4>
      </vt:variant>
      <vt:variant>
        <vt:i4>0</vt:i4>
      </vt:variant>
      <vt:variant>
        <vt:i4>5</vt:i4>
      </vt:variant>
      <vt:variant>
        <vt:lpwstr>http://www.lug.com.pl/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Szczesniak</dc:creator>
  <cp:lastModifiedBy>Monika</cp:lastModifiedBy>
  <cp:revision>5</cp:revision>
  <cp:lastPrinted>2016-08-12T08:58:00Z</cp:lastPrinted>
  <dcterms:created xsi:type="dcterms:W3CDTF">2017-02-15T08:20:00Z</dcterms:created>
  <dcterms:modified xsi:type="dcterms:W3CDTF">2017-02-15T12:22:00Z</dcterms:modified>
</cp:coreProperties>
</file>