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90D" w:rsidRDefault="00D2390D" w:rsidP="00D2390D">
      <w:pPr>
        <w:pStyle w:val="Nagwek1"/>
        <w:spacing w:before="120"/>
        <w:jc w:val="right"/>
        <w:rPr>
          <w:rFonts w:ascii="Calibri" w:hAnsi="Calibri" w:cs="Tahoma"/>
          <w:color w:val="404040"/>
        </w:rPr>
      </w:pPr>
      <w:r>
        <w:rPr>
          <w:rFonts w:ascii="Calibri" w:hAnsi="Calibri" w:cs="Tahoma"/>
          <w:color w:val="404040"/>
        </w:rPr>
        <w:t>Informacja prasowa</w:t>
      </w:r>
    </w:p>
    <w:p w:rsidR="005B1722" w:rsidRDefault="0016578C" w:rsidP="00DF5F51">
      <w:pPr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09</w:t>
      </w:r>
      <w:r w:rsidR="00DF5F51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11</w:t>
      </w:r>
      <w:r w:rsidR="00DF5F51">
        <w:rPr>
          <w:rFonts w:ascii="Calibri" w:hAnsi="Calibri"/>
          <w:sz w:val="22"/>
          <w:szCs w:val="22"/>
        </w:rPr>
        <w:t>.201</w:t>
      </w:r>
      <w:r w:rsidR="00A00411">
        <w:rPr>
          <w:rFonts w:ascii="Calibri" w:hAnsi="Calibri"/>
          <w:sz w:val="22"/>
          <w:szCs w:val="22"/>
        </w:rPr>
        <w:t>6</w:t>
      </w:r>
      <w:r w:rsidR="00DF5F51">
        <w:rPr>
          <w:rFonts w:ascii="Calibri" w:hAnsi="Calibri"/>
          <w:sz w:val="22"/>
          <w:szCs w:val="22"/>
        </w:rPr>
        <w:t>r.</w:t>
      </w:r>
    </w:p>
    <w:p w:rsidR="00DF5F51" w:rsidRPr="00E95E8B" w:rsidRDefault="00DF5F51" w:rsidP="00DF5F51">
      <w:pPr>
        <w:jc w:val="right"/>
        <w:rPr>
          <w:rFonts w:ascii="Calibri" w:hAnsi="Calibri"/>
          <w:sz w:val="10"/>
          <w:szCs w:val="22"/>
        </w:rPr>
      </w:pPr>
    </w:p>
    <w:p w:rsidR="00DF5F51" w:rsidRPr="00E95E8B" w:rsidRDefault="00DF5F51" w:rsidP="00DF5F51">
      <w:pPr>
        <w:jc w:val="right"/>
        <w:rPr>
          <w:rFonts w:ascii="Calibri" w:hAnsi="Calibri"/>
          <w:sz w:val="10"/>
          <w:szCs w:val="22"/>
        </w:rPr>
      </w:pPr>
    </w:p>
    <w:p w:rsidR="00E2706C" w:rsidRPr="00E2706C" w:rsidRDefault="00E2706C" w:rsidP="00DF5F51">
      <w:pPr>
        <w:jc w:val="right"/>
        <w:rPr>
          <w:rFonts w:ascii="Calibri" w:hAnsi="Calibri"/>
          <w:szCs w:val="22"/>
        </w:rPr>
      </w:pPr>
    </w:p>
    <w:p w:rsidR="00DF5F51" w:rsidRPr="00AD3614" w:rsidRDefault="006C20C0" w:rsidP="00DF5F51">
      <w:pPr>
        <w:rPr>
          <w:rFonts w:ascii="Calibri" w:hAnsi="Calibri"/>
          <w:color w:val="595959" w:themeColor="text1" w:themeTint="A6"/>
          <w:sz w:val="28"/>
          <w:szCs w:val="28"/>
        </w:rPr>
      </w:pPr>
      <w:r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Wyniki </w:t>
      </w:r>
      <w:r w:rsidR="00247D11" w:rsidRPr="00AD3614">
        <w:rPr>
          <w:rFonts w:ascii="Calibri" w:hAnsi="Calibri"/>
          <w:color w:val="595959" w:themeColor="text1" w:themeTint="A6"/>
          <w:sz w:val="28"/>
          <w:szCs w:val="28"/>
        </w:rPr>
        <w:t>Grup</w:t>
      </w:r>
      <w:r w:rsidRPr="00AD3614">
        <w:rPr>
          <w:rFonts w:ascii="Calibri" w:hAnsi="Calibri"/>
          <w:color w:val="595959" w:themeColor="text1" w:themeTint="A6"/>
          <w:sz w:val="28"/>
          <w:szCs w:val="28"/>
        </w:rPr>
        <w:t>y</w:t>
      </w:r>
      <w:r w:rsidR="00247D11"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 Kapitałow</w:t>
      </w:r>
      <w:r w:rsidRPr="00AD3614">
        <w:rPr>
          <w:rFonts w:ascii="Calibri" w:hAnsi="Calibri"/>
          <w:color w:val="595959" w:themeColor="text1" w:themeTint="A6"/>
          <w:sz w:val="28"/>
          <w:szCs w:val="28"/>
        </w:rPr>
        <w:t>ej</w:t>
      </w:r>
      <w:r w:rsidR="00247D11"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 LUG S.A.</w:t>
      </w:r>
      <w:r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 za </w:t>
      </w:r>
      <w:r w:rsidR="0016578C">
        <w:rPr>
          <w:rFonts w:ascii="Calibri" w:hAnsi="Calibri"/>
          <w:color w:val="595959" w:themeColor="text1" w:themeTint="A6"/>
          <w:sz w:val="28"/>
          <w:szCs w:val="28"/>
        </w:rPr>
        <w:t>3</w:t>
      </w:r>
      <w:r w:rsidR="00244B02">
        <w:rPr>
          <w:rFonts w:ascii="Calibri" w:hAnsi="Calibri"/>
          <w:color w:val="595959" w:themeColor="text1" w:themeTint="A6"/>
          <w:sz w:val="28"/>
          <w:szCs w:val="28"/>
        </w:rPr>
        <w:t>Q’</w:t>
      </w:r>
      <w:r w:rsidRPr="00AD3614">
        <w:rPr>
          <w:rFonts w:ascii="Calibri" w:hAnsi="Calibri"/>
          <w:color w:val="595959" w:themeColor="text1" w:themeTint="A6"/>
          <w:sz w:val="28"/>
          <w:szCs w:val="28"/>
        </w:rPr>
        <w:t>201</w:t>
      </w:r>
      <w:r w:rsidR="00244B02">
        <w:rPr>
          <w:rFonts w:ascii="Calibri" w:hAnsi="Calibri"/>
          <w:color w:val="595959" w:themeColor="text1" w:themeTint="A6"/>
          <w:sz w:val="28"/>
          <w:szCs w:val="28"/>
        </w:rPr>
        <w:t>6</w:t>
      </w:r>
      <w:r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 rok</w:t>
      </w:r>
      <w:r w:rsidR="00247D11" w:rsidRPr="00AD3614">
        <w:rPr>
          <w:rFonts w:ascii="Calibri" w:hAnsi="Calibri"/>
          <w:color w:val="595959" w:themeColor="text1" w:themeTint="A6"/>
          <w:sz w:val="28"/>
          <w:szCs w:val="28"/>
        </w:rPr>
        <w:t xml:space="preserve">: </w:t>
      </w:r>
    </w:p>
    <w:p w:rsidR="00247D11" w:rsidRPr="00AD3614" w:rsidRDefault="00640F6F" w:rsidP="006E4CD1">
      <w:pPr>
        <w:rPr>
          <w:rFonts w:ascii="Calibri" w:hAnsi="Calibri"/>
          <w:b/>
          <w:sz w:val="34"/>
          <w:szCs w:val="34"/>
        </w:rPr>
      </w:pPr>
      <w:r>
        <w:rPr>
          <w:rFonts w:ascii="Calibri" w:hAnsi="Calibri"/>
          <w:b/>
          <w:sz w:val="34"/>
          <w:szCs w:val="34"/>
        </w:rPr>
        <w:t xml:space="preserve">LUG </w:t>
      </w:r>
      <w:r w:rsidR="0016578C">
        <w:rPr>
          <w:rFonts w:ascii="Calibri" w:hAnsi="Calibri"/>
          <w:b/>
          <w:sz w:val="34"/>
          <w:szCs w:val="34"/>
        </w:rPr>
        <w:t xml:space="preserve">zamyka III kwartał br. bardzo dobrymi wynikami </w:t>
      </w:r>
    </w:p>
    <w:p w:rsidR="00FD5415" w:rsidRDefault="00FD5415" w:rsidP="00DF5F51">
      <w:pPr>
        <w:rPr>
          <w:rFonts w:ascii="Calibri" w:hAnsi="Calibri"/>
          <w:b/>
          <w:noProof/>
          <w:sz w:val="28"/>
          <w:szCs w:val="22"/>
        </w:rPr>
      </w:pPr>
    </w:p>
    <w:p w:rsidR="00247D11" w:rsidRDefault="00247D11" w:rsidP="00DF5F51">
      <w:pPr>
        <w:rPr>
          <w:rFonts w:ascii="Calibri" w:hAnsi="Calibri"/>
          <w:b/>
          <w:noProof/>
          <w:sz w:val="28"/>
          <w:szCs w:val="22"/>
        </w:rPr>
      </w:pPr>
    </w:p>
    <w:p w:rsidR="00247D11" w:rsidRPr="007B2AD5" w:rsidRDefault="00247D11" w:rsidP="00DF5F51">
      <w:pPr>
        <w:rPr>
          <w:rFonts w:ascii="Calibri" w:hAnsi="Calibri"/>
          <w:noProof/>
          <w:sz w:val="22"/>
          <w:szCs w:val="22"/>
        </w:rPr>
      </w:pPr>
      <w:r w:rsidRPr="007B2AD5">
        <w:rPr>
          <w:rFonts w:ascii="Calibri" w:hAnsi="Calibri"/>
          <w:noProof/>
          <w:sz w:val="22"/>
          <w:szCs w:val="22"/>
        </w:rPr>
        <w:t xml:space="preserve">Zielona Góra – Grupa Kapitałowa LUG S.A. (NewConnect: LUG) opublikowała </w:t>
      </w:r>
      <w:r w:rsidR="006C20C0">
        <w:rPr>
          <w:rFonts w:ascii="Calibri" w:hAnsi="Calibri"/>
          <w:noProof/>
          <w:sz w:val="22"/>
          <w:szCs w:val="22"/>
        </w:rPr>
        <w:t xml:space="preserve">skonsolidowany raport </w:t>
      </w:r>
      <w:r w:rsidR="00244B02">
        <w:rPr>
          <w:rFonts w:ascii="Calibri" w:hAnsi="Calibri"/>
          <w:noProof/>
          <w:sz w:val="22"/>
          <w:szCs w:val="22"/>
        </w:rPr>
        <w:t>Grupy Kapitałowej LUG S.A.</w:t>
      </w:r>
      <w:r w:rsidR="006C20C0">
        <w:rPr>
          <w:rFonts w:ascii="Calibri" w:hAnsi="Calibri"/>
          <w:noProof/>
          <w:sz w:val="22"/>
          <w:szCs w:val="22"/>
        </w:rPr>
        <w:t xml:space="preserve"> za</w:t>
      </w:r>
      <w:r w:rsidR="00640F6F">
        <w:rPr>
          <w:rFonts w:ascii="Calibri" w:hAnsi="Calibri"/>
          <w:noProof/>
          <w:sz w:val="22"/>
          <w:szCs w:val="22"/>
        </w:rPr>
        <w:t xml:space="preserve"> </w:t>
      </w:r>
      <w:r w:rsidR="0016578C">
        <w:rPr>
          <w:rFonts w:ascii="Calibri" w:hAnsi="Calibri"/>
          <w:noProof/>
          <w:sz w:val="22"/>
          <w:szCs w:val="22"/>
        </w:rPr>
        <w:t>3</w:t>
      </w:r>
      <w:r w:rsidR="00244B02">
        <w:rPr>
          <w:rFonts w:ascii="Calibri" w:hAnsi="Calibri"/>
          <w:noProof/>
          <w:sz w:val="22"/>
          <w:szCs w:val="22"/>
        </w:rPr>
        <w:t>Q’</w:t>
      </w:r>
      <w:r w:rsidR="006C20C0">
        <w:rPr>
          <w:rFonts w:ascii="Calibri" w:hAnsi="Calibri"/>
          <w:noProof/>
          <w:sz w:val="22"/>
          <w:szCs w:val="22"/>
        </w:rPr>
        <w:t>201</w:t>
      </w:r>
      <w:r w:rsidR="00244B02">
        <w:rPr>
          <w:rFonts w:ascii="Calibri" w:hAnsi="Calibri"/>
          <w:noProof/>
          <w:sz w:val="22"/>
          <w:szCs w:val="22"/>
        </w:rPr>
        <w:t>6</w:t>
      </w:r>
      <w:r w:rsidR="006C20C0">
        <w:rPr>
          <w:rFonts w:ascii="Calibri" w:hAnsi="Calibri"/>
          <w:noProof/>
          <w:sz w:val="22"/>
          <w:szCs w:val="22"/>
        </w:rPr>
        <w:t xml:space="preserve"> rok</w:t>
      </w:r>
      <w:r w:rsidRPr="007B2AD5">
        <w:rPr>
          <w:rFonts w:ascii="Calibri" w:hAnsi="Calibri"/>
          <w:noProof/>
          <w:sz w:val="22"/>
          <w:szCs w:val="22"/>
        </w:rPr>
        <w:t>. Kluczowe informacje:</w:t>
      </w:r>
    </w:p>
    <w:p w:rsidR="00247D11" w:rsidRPr="007B2AD5" w:rsidRDefault="00247D11" w:rsidP="00DF5F51">
      <w:pPr>
        <w:rPr>
          <w:rFonts w:ascii="Calibri" w:hAnsi="Calibri"/>
          <w:noProof/>
          <w:sz w:val="22"/>
          <w:szCs w:val="22"/>
        </w:rPr>
      </w:pPr>
    </w:p>
    <w:p w:rsidR="00D34946" w:rsidRPr="00B045AF" w:rsidRDefault="00D34946" w:rsidP="00B045AF">
      <w:pPr>
        <w:pStyle w:val="Akapitzlist"/>
        <w:numPr>
          <w:ilvl w:val="0"/>
          <w:numId w:val="3"/>
        </w:numPr>
        <w:spacing w:after="0"/>
        <w:ind w:left="567"/>
        <w:jc w:val="both"/>
      </w:pPr>
      <w:r w:rsidRPr="00B045AF">
        <w:rPr>
          <w:b/>
        </w:rPr>
        <w:t>skonsolidowane przychody ze sprzedaży</w:t>
      </w:r>
      <w:r w:rsidRPr="00B045AF">
        <w:t xml:space="preserve"> </w:t>
      </w:r>
      <w:r w:rsidR="006C20C0" w:rsidRPr="00B045AF">
        <w:rPr>
          <w:b/>
        </w:rPr>
        <w:t xml:space="preserve">za </w:t>
      </w:r>
      <w:r w:rsidR="0016578C" w:rsidRPr="00B045AF">
        <w:rPr>
          <w:b/>
        </w:rPr>
        <w:t>3</w:t>
      </w:r>
      <w:r w:rsidR="00244B02" w:rsidRPr="00B045AF">
        <w:rPr>
          <w:b/>
        </w:rPr>
        <w:t>Q’</w:t>
      </w:r>
      <w:r w:rsidR="006C20C0" w:rsidRPr="00B045AF">
        <w:rPr>
          <w:b/>
        </w:rPr>
        <w:t>201</w:t>
      </w:r>
      <w:r w:rsidR="00244B02" w:rsidRPr="00B045AF">
        <w:rPr>
          <w:b/>
        </w:rPr>
        <w:t>6</w:t>
      </w:r>
      <w:r w:rsidR="006C20C0" w:rsidRPr="00B045AF">
        <w:rPr>
          <w:b/>
        </w:rPr>
        <w:t xml:space="preserve"> rok</w:t>
      </w:r>
      <w:r w:rsidR="00244B02" w:rsidRPr="00B045AF">
        <w:rPr>
          <w:b/>
        </w:rPr>
        <w:t>u</w:t>
      </w:r>
      <w:r w:rsidRPr="00B045AF">
        <w:t xml:space="preserve"> wyniosły </w:t>
      </w:r>
      <w:r w:rsidR="0016578C" w:rsidRPr="00B045AF">
        <w:t>33 396,15</w:t>
      </w:r>
      <w:r w:rsidR="006C20C0" w:rsidRPr="00B045AF">
        <w:t xml:space="preserve"> </w:t>
      </w:r>
      <w:r w:rsidRPr="00B045AF">
        <w:t xml:space="preserve">tys. zł, </w:t>
      </w:r>
      <w:r w:rsidR="00640F6F" w:rsidRPr="00B045AF">
        <w:t>wzrost</w:t>
      </w:r>
      <w:r w:rsidRPr="00B045AF">
        <w:t xml:space="preserve"> o </w:t>
      </w:r>
      <w:r w:rsidR="0016578C" w:rsidRPr="00B045AF">
        <w:t>24,09</w:t>
      </w:r>
      <w:r w:rsidRPr="00B045AF">
        <w:t xml:space="preserve">% </w:t>
      </w:r>
      <w:r w:rsidR="00C02204" w:rsidRPr="00B045AF">
        <w:t>r/r</w:t>
      </w:r>
      <w:r w:rsidRPr="00B045AF">
        <w:t xml:space="preserve">; </w:t>
      </w:r>
    </w:p>
    <w:p w:rsidR="00640F6F" w:rsidRPr="00B045AF" w:rsidRDefault="00640F6F" w:rsidP="00B045AF">
      <w:pPr>
        <w:pStyle w:val="Akapitzlist"/>
        <w:numPr>
          <w:ilvl w:val="0"/>
          <w:numId w:val="3"/>
        </w:numPr>
        <w:spacing w:after="0"/>
        <w:ind w:left="567"/>
        <w:jc w:val="both"/>
      </w:pPr>
      <w:r w:rsidRPr="00B045AF">
        <w:rPr>
          <w:b/>
        </w:rPr>
        <w:t xml:space="preserve">skonsolidowane przychody ze sprzedaży za </w:t>
      </w:r>
      <w:r w:rsidR="0016578C" w:rsidRPr="00B045AF">
        <w:rPr>
          <w:b/>
        </w:rPr>
        <w:t>I-III kwartał</w:t>
      </w:r>
      <w:r w:rsidRPr="00B045AF">
        <w:rPr>
          <w:b/>
        </w:rPr>
        <w:t xml:space="preserve"> 2016 roku </w:t>
      </w:r>
      <w:r w:rsidRPr="00B045AF">
        <w:t xml:space="preserve">wyniosły </w:t>
      </w:r>
      <w:r w:rsidR="0016578C" w:rsidRPr="00B045AF">
        <w:t>86 582,44</w:t>
      </w:r>
      <w:r w:rsidRPr="00B045AF">
        <w:t xml:space="preserve"> tys. zł,</w:t>
      </w:r>
      <w:r w:rsidRPr="00B045AF">
        <w:rPr>
          <w:b/>
        </w:rPr>
        <w:t xml:space="preserve"> </w:t>
      </w:r>
      <w:r w:rsidR="00B045AF" w:rsidRPr="00B045AF">
        <w:t xml:space="preserve">wzrost o </w:t>
      </w:r>
      <w:r w:rsidR="0016578C" w:rsidRPr="00B045AF">
        <w:t>10,75</w:t>
      </w:r>
      <w:r w:rsidRPr="00B045AF">
        <w:t>% r/r</w:t>
      </w:r>
      <w:r w:rsidR="0016578C" w:rsidRPr="00B045AF">
        <w:t>;</w:t>
      </w:r>
    </w:p>
    <w:p w:rsidR="00640F6F" w:rsidRPr="00B045AF" w:rsidRDefault="00640F6F" w:rsidP="00B045AF">
      <w:pPr>
        <w:pStyle w:val="Akapitzlist"/>
        <w:numPr>
          <w:ilvl w:val="0"/>
          <w:numId w:val="3"/>
        </w:numPr>
        <w:ind w:left="567"/>
        <w:rPr>
          <w:noProof/>
        </w:rPr>
      </w:pPr>
      <w:r w:rsidRPr="00B045AF">
        <w:rPr>
          <w:b/>
        </w:rPr>
        <w:t xml:space="preserve">struktura przychodów ze sprzedaży </w:t>
      </w:r>
      <w:r w:rsidR="0016578C" w:rsidRPr="00B045AF">
        <w:rPr>
          <w:b/>
        </w:rPr>
        <w:t>za I-III kwartał</w:t>
      </w:r>
      <w:r w:rsidRPr="00B045AF">
        <w:rPr>
          <w:b/>
        </w:rPr>
        <w:t xml:space="preserve"> 2016 roku </w:t>
      </w:r>
      <w:r w:rsidRPr="00B045AF">
        <w:t xml:space="preserve">wynosiła: </w:t>
      </w:r>
      <w:r w:rsidR="00B045AF" w:rsidRPr="00B045AF">
        <w:t>46,41</w:t>
      </w:r>
      <w:r w:rsidRPr="00B045AF">
        <w:t xml:space="preserve">% - kraj, </w:t>
      </w:r>
      <w:r w:rsidR="00B045AF" w:rsidRPr="00B045AF">
        <w:t>53,59</w:t>
      </w:r>
      <w:r w:rsidRPr="00B045AF">
        <w:t>% - eksport;</w:t>
      </w:r>
    </w:p>
    <w:p w:rsidR="00640F6F" w:rsidRPr="00B045AF" w:rsidRDefault="00640F6F" w:rsidP="00B045AF">
      <w:pPr>
        <w:pStyle w:val="Akapitzlist"/>
        <w:numPr>
          <w:ilvl w:val="0"/>
          <w:numId w:val="3"/>
        </w:numPr>
        <w:ind w:left="567"/>
        <w:rPr>
          <w:noProof/>
        </w:rPr>
      </w:pPr>
      <w:r w:rsidRPr="00B045AF">
        <w:rPr>
          <w:b/>
          <w:noProof/>
        </w:rPr>
        <w:t xml:space="preserve">dynamika przychodów w </w:t>
      </w:r>
      <w:r w:rsidR="00B045AF" w:rsidRPr="00B045AF">
        <w:rPr>
          <w:b/>
          <w:noProof/>
        </w:rPr>
        <w:t>3</w:t>
      </w:r>
      <w:r w:rsidRPr="00B045AF">
        <w:rPr>
          <w:b/>
          <w:noProof/>
        </w:rPr>
        <w:t>Q’2016 roku</w:t>
      </w:r>
      <w:r w:rsidRPr="00B045AF">
        <w:rPr>
          <w:noProof/>
        </w:rPr>
        <w:t>: kraj +</w:t>
      </w:r>
      <w:r w:rsidR="00B045AF" w:rsidRPr="00B045AF">
        <w:rPr>
          <w:noProof/>
        </w:rPr>
        <w:t>29,31</w:t>
      </w:r>
      <w:r w:rsidRPr="00B045AF">
        <w:rPr>
          <w:noProof/>
        </w:rPr>
        <w:t>%, eksport +</w:t>
      </w:r>
      <w:r w:rsidR="00B045AF" w:rsidRPr="00B045AF">
        <w:rPr>
          <w:noProof/>
        </w:rPr>
        <w:t>19,09</w:t>
      </w:r>
      <w:r w:rsidRPr="00B045AF">
        <w:rPr>
          <w:noProof/>
        </w:rPr>
        <w:t>%;</w:t>
      </w:r>
    </w:p>
    <w:p w:rsidR="00244B02" w:rsidRPr="00B045AF" w:rsidRDefault="00244B02" w:rsidP="00B045AF">
      <w:pPr>
        <w:pStyle w:val="Akapitzlist"/>
        <w:numPr>
          <w:ilvl w:val="0"/>
          <w:numId w:val="3"/>
        </w:numPr>
        <w:ind w:left="567"/>
        <w:rPr>
          <w:noProof/>
        </w:rPr>
      </w:pPr>
      <w:r w:rsidRPr="00B045AF">
        <w:rPr>
          <w:b/>
          <w:noProof/>
        </w:rPr>
        <w:t xml:space="preserve">marża na sprzedaży brutto w </w:t>
      </w:r>
      <w:r w:rsidR="0016578C" w:rsidRPr="00B045AF">
        <w:rPr>
          <w:b/>
          <w:noProof/>
        </w:rPr>
        <w:t>3</w:t>
      </w:r>
      <w:r w:rsidRPr="00B045AF">
        <w:rPr>
          <w:b/>
          <w:noProof/>
        </w:rPr>
        <w:t xml:space="preserve">Q’2016 roku </w:t>
      </w:r>
      <w:r w:rsidRPr="00B045AF">
        <w:rPr>
          <w:noProof/>
        </w:rPr>
        <w:t xml:space="preserve">wynosiła </w:t>
      </w:r>
      <w:r w:rsidR="00B045AF" w:rsidRPr="00B045AF">
        <w:rPr>
          <w:noProof/>
        </w:rPr>
        <w:t>39,46</w:t>
      </w:r>
      <w:r w:rsidRPr="00B045AF">
        <w:rPr>
          <w:noProof/>
        </w:rPr>
        <w:t xml:space="preserve">% wobec </w:t>
      </w:r>
      <w:r w:rsidR="00B045AF" w:rsidRPr="00B045AF">
        <w:rPr>
          <w:noProof/>
        </w:rPr>
        <w:t>34,07</w:t>
      </w:r>
      <w:r w:rsidRPr="00B045AF">
        <w:rPr>
          <w:noProof/>
        </w:rPr>
        <w:t>% przed rokiem;</w:t>
      </w:r>
    </w:p>
    <w:p w:rsidR="00244B02" w:rsidRPr="00B045AF" w:rsidRDefault="00244B02" w:rsidP="00B045AF">
      <w:pPr>
        <w:pStyle w:val="Akapitzlist"/>
        <w:numPr>
          <w:ilvl w:val="0"/>
          <w:numId w:val="3"/>
        </w:numPr>
        <w:spacing w:after="0"/>
        <w:ind w:left="567" w:hanging="357"/>
        <w:rPr>
          <w:b/>
          <w:noProof/>
        </w:rPr>
      </w:pPr>
      <w:r w:rsidRPr="00B045AF">
        <w:rPr>
          <w:rFonts w:cs="Calibri"/>
          <w:b/>
        </w:rPr>
        <w:t>wynik</w:t>
      </w:r>
      <w:r w:rsidR="00D35A70" w:rsidRPr="00B045AF">
        <w:rPr>
          <w:rFonts w:cs="Calibri"/>
          <w:b/>
        </w:rPr>
        <w:t xml:space="preserve"> netto </w:t>
      </w:r>
      <w:r w:rsidRPr="00B045AF">
        <w:rPr>
          <w:rFonts w:cs="Calibri"/>
          <w:b/>
        </w:rPr>
        <w:t>w</w:t>
      </w:r>
      <w:r w:rsidR="00D35A70" w:rsidRPr="00B045AF">
        <w:rPr>
          <w:rFonts w:cs="Calibri"/>
          <w:b/>
        </w:rPr>
        <w:t xml:space="preserve"> </w:t>
      </w:r>
      <w:r w:rsidR="0016578C" w:rsidRPr="00B045AF">
        <w:rPr>
          <w:rFonts w:cs="Calibri"/>
          <w:b/>
        </w:rPr>
        <w:t>3</w:t>
      </w:r>
      <w:r w:rsidRPr="00B045AF">
        <w:rPr>
          <w:rFonts w:cs="Calibri"/>
          <w:b/>
        </w:rPr>
        <w:t>Q’</w:t>
      </w:r>
      <w:r w:rsidR="00830F20" w:rsidRPr="00B045AF">
        <w:rPr>
          <w:rFonts w:cs="Calibri"/>
          <w:b/>
        </w:rPr>
        <w:t>201</w:t>
      </w:r>
      <w:r w:rsidRPr="00B045AF">
        <w:rPr>
          <w:rFonts w:cs="Calibri"/>
          <w:b/>
        </w:rPr>
        <w:t>6</w:t>
      </w:r>
      <w:r w:rsidR="00D35A70" w:rsidRPr="00B045AF">
        <w:rPr>
          <w:rFonts w:cs="Calibri"/>
          <w:b/>
        </w:rPr>
        <w:t xml:space="preserve"> rok</w:t>
      </w:r>
      <w:r w:rsidRPr="00B045AF">
        <w:rPr>
          <w:rFonts w:cs="Calibri"/>
          <w:b/>
        </w:rPr>
        <w:t>u</w:t>
      </w:r>
      <w:r w:rsidR="00830F20" w:rsidRPr="00B045AF">
        <w:rPr>
          <w:rFonts w:cs="Calibri"/>
          <w:b/>
        </w:rPr>
        <w:t xml:space="preserve"> </w:t>
      </w:r>
      <w:r w:rsidR="00830F20" w:rsidRPr="00B045AF">
        <w:rPr>
          <w:rFonts w:cs="Calibri"/>
        </w:rPr>
        <w:t xml:space="preserve">wyniósł </w:t>
      </w:r>
      <w:r w:rsidR="00640F6F" w:rsidRPr="00B045AF">
        <w:rPr>
          <w:rFonts w:cs="Calibri"/>
        </w:rPr>
        <w:t>1 250,88</w:t>
      </w:r>
      <w:r w:rsidRPr="00B045AF">
        <w:rPr>
          <w:rFonts w:cs="Calibri"/>
        </w:rPr>
        <w:t xml:space="preserve"> tys. zł</w:t>
      </w:r>
      <w:r w:rsidR="00640F6F" w:rsidRPr="00B045AF">
        <w:rPr>
          <w:rFonts w:cs="Calibri"/>
        </w:rPr>
        <w:t>, wzrost o 24,27% r/r;</w:t>
      </w:r>
    </w:p>
    <w:p w:rsidR="00640F6F" w:rsidRPr="00B045AF" w:rsidRDefault="00640F6F" w:rsidP="00B045AF">
      <w:pPr>
        <w:pStyle w:val="Akapitzlist"/>
        <w:numPr>
          <w:ilvl w:val="0"/>
          <w:numId w:val="3"/>
        </w:numPr>
        <w:spacing w:after="0"/>
        <w:ind w:left="567" w:hanging="357"/>
        <w:rPr>
          <w:noProof/>
        </w:rPr>
      </w:pPr>
      <w:r w:rsidRPr="00B045AF">
        <w:rPr>
          <w:rFonts w:cs="Calibri"/>
          <w:b/>
        </w:rPr>
        <w:t xml:space="preserve">wynik netto w </w:t>
      </w:r>
      <w:r w:rsidR="0016578C" w:rsidRPr="00B045AF">
        <w:rPr>
          <w:rFonts w:cs="Calibri"/>
          <w:b/>
        </w:rPr>
        <w:t>okresie I-III kwartał</w:t>
      </w:r>
      <w:r w:rsidRPr="00B045AF">
        <w:rPr>
          <w:rFonts w:cs="Calibri"/>
          <w:b/>
        </w:rPr>
        <w:t xml:space="preserve"> 2016 roku </w:t>
      </w:r>
      <w:r w:rsidRPr="00B045AF">
        <w:rPr>
          <w:rFonts w:cs="Calibri"/>
        </w:rPr>
        <w:t xml:space="preserve">wyniósł 523,14 tys. zł, spadek </w:t>
      </w:r>
      <w:r w:rsidR="00D4158A" w:rsidRPr="00B045AF">
        <w:rPr>
          <w:rFonts w:cs="Calibri"/>
        </w:rPr>
        <w:t>o 63,82% r/r.</w:t>
      </w:r>
    </w:p>
    <w:p w:rsidR="00244B02" w:rsidRDefault="00244B02" w:rsidP="00244B02">
      <w:pPr>
        <w:pStyle w:val="Akapitzlist"/>
        <w:spacing w:after="0"/>
        <w:ind w:left="992"/>
        <w:rPr>
          <w:b/>
          <w:noProof/>
        </w:rPr>
      </w:pPr>
    </w:p>
    <w:p w:rsidR="00244B02" w:rsidRDefault="00244B02" w:rsidP="00244B02">
      <w:pPr>
        <w:rPr>
          <w:b/>
          <w:noProof/>
        </w:rPr>
      </w:pPr>
    </w:p>
    <w:p w:rsidR="00247D11" w:rsidRPr="009D2D2C" w:rsidRDefault="00317B6E" w:rsidP="00244B02">
      <w:pPr>
        <w:rPr>
          <w:rFonts w:asciiTheme="minorHAnsi" w:hAnsiTheme="minorHAnsi"/>
          <w:b/>
          <w:noProof/>
          <w:sz w:val="22"/>
        </w:rPr>
      </w:pPr>
      <w:r w:rsidRPr="009D2D2C">
        <w:rPr>
          <w:rFonts w:asciiTheme="minorHAnsi" w:hAnsiTheme="minorHAnsi"/>
          <w:b/>
          <w:noProof/>
          <w:sz w:val="22"/>
        </w:rPr>
        <w:t xml:space="preserve">Podsumowanie </w:t>
      </w:r>
    </w:p>
    <w:p w:rsidR="009D2D2C" w:rsidRPr="009D2D2C" w:rsidRDefault="009D2D2C" w:rsidP="00244B02">
      <w:pPr>
        <w:rPr>
          <w:b/>
          <w:noProof/>
          <w:sz w:val="12"/>
        </w:rPr>
      </w:pPr>
    </w:p>
    <w:p w:rsidR="00FD451E" w:rsidRDefault="00B045AF" w:rsidP="002831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W </w:t>
      </w:r>
      <w:r w:rsidRPr="00B045AF">
        <w:rPr>
          <w:rFonts w:asciiTheme="minorHAnsi" w:hAnsiTheme="minorHAnsi" w:cstheme="minorHAnsi"/>
          <w:sz w:val="22"/>
        </w:rPr>
        <w:t xml:space="preserve">III kwartale 2016 roku </w:t>
      </w:r>
      <w:r>
        <w:rPr>
          <w:rFonts w:asciiTheme="minorHAnsi" w:hAnsiTheme="minorHAnsi" w:cstheme="minorHAnsi"/>
          <w:sz w:val="22"/>
        </w:rPr>
        <w:t xml:space="preserve">Grupa Kapitałowa LUG S.A. </w:t>
      </w:r>
      <w:r w:rsidRPr="00B045AF">
        <w:rPr>
          <w:rFonts w:asciiTheme="minorHAnsi" w:hAnsiTheme="minorHAnsi" w:cstheme="minorHAnsi"/>
          <w:sz w:val="22"/>
        </w:rPr>
        <w:t>wzmocni</w:t>
      </w:r>
      <w:r>
        <w:rPr>
          <w:rFonts w:asciiTheme="minorHAnsi" w:hAnsiTheme="minorHAnsi" w:cstheme="minorHAnsi"/>
          <w:sz w:val="22"/>
        </w:rPr>
        <w:t>ła swoją</w:t>
      </w:r>
      <w:r w:rsidRPr="00B045AF">
        <w:rPr>
          <w:rFonts w:asciiTheme="minorHAnsi" w:hAnsiTheme="minorHAnsi" w:cstheme="minorHAnsi"/>
          <w:sz w:val="22"/>
        </w:rPr>
        <w:t xml:space="preserve"> pozycję rynkową i mimo wystąpienia pierwszych, jeszcze delikatnych symptomów osłabienia gospodarczego, zrealizowa</w:t>
      </w:r>
      <w:r w:rsidR="00FD451E">
        <w:rPr>
          <w:rFonts w:asciiTheme="minorHAnsi" w:hAnsiTheme="minorHAnsi" w:cstheme="minorHAnsi"/>
          <w:sz w:val="22"/>
        </w:rPr>
        <w:t>ła</w:t>
      </w:r>
      <w:r w:rsidRPr="00B045AF">
        <w:rPr>
          <w:rFonts w:asciiTheme="minorHAnsi" w:hAnsiTheme="minorHAnsi" w:cstheme="minorHAnsi"/>
          <w:sz w:val="22"/>
        </w:rPr>
        <w:t xml:space="preserve"> bardzo dobre wyniki. </w:t>
      </w:r>
    </w:p>
    <w:p w:rsidR="00FD451E" w:rsidRDefault="00FD451E" w:rsidP="002831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FD451E" w:rsidRDefault="00B045AF" w:rsidP="002831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  <w:r w:rsidRPr="00B045AF">
        <w:rPr>
          <w:rFonts w:asciiTheme="minorHAnsi" w:hAnsiTheme="minorHAnsi" w:cstheme="minorHAnsi"/>
          <w:sz w:val="22"/>
        </w:rPr>
        <w:t>Skonsolidowane przychody ze sprzedaży w samym III kwartale wzrosły o ponad 24 proc.</w:t>
      </w:r>
      <w:r w:rsidR="00FD451E">
        <w:rPr>
          <w:rFonts w:asciiTheme="minorHAnsi" w:hAnsiTheme="minorHAnsi" w:cstheme="minorHAnsi"/>
          <w:sz w:val="22"/>
        </w:rPr>
        <w:t xml:space="preserve"> do poziomu 33 396,15 tys. zł. W</w:t>
      </w:r>
      <w:r w:rsidRPr="00B045AF">
        <w:rPr>
          <w:rFonts w:asciiTheme="minorHAnsi" w:hAnsiTheme="minorHAnsi" w:cstheme="minorHAnsi"/>
          <w:sz w:val="22"/>
        </w:rPr>
        <w:t xml:space="preserve"> ujęciu narastającym </w:t>
      </w:r>
      <w:r w:rsidR="00FD451E">
        <w:rPr>
          <w:rFonts w:asciiTheme="minorHAnsi" w:hAnsiTheme="minorHAnsi" w:cstheme="minorHAnsi"/>
          <w:sz w:val="22"/>
        </w:rPr>
        <w:t xml:space="preserve">Grupa odnotowała </w:t>
      </w:r>
      <w:r w:rsidRPr="00B045AF">
        <w:rPr>
          <w:rFonts w:asciiTheme="minorHAnsi" w:hAnsiTheme="minorHAnsi" w:cstheme="minorHAnsi"/>
          <w:sz w:val="22"/>
        </w:rPr>
        <w:t xml:space="preserve">wzrost </w:t>
      </w:r>
      <w:r w:rsidR="00FD451E">
        <w:rPr>
          <w:rFonts w:asciiTheme="minorHAnsi" w:hAnsiTheme="minorHAnsi" w:cstheme="minorHAnsi"/>
          <w:sz w:val="22"/>
        </w:rPr>
        <w:t xml:space="preserve">przychodów </w:t>
      </w:r>
      <w:r w:rsidRPr="00B045AF">
        <w:rPr>
          <w:rFonts w:asciiTheme="minorHAnsi" w:hAnsiTheme="minorHAnsi" w:cstheme="minorHAnsi"/>
          <w:sz w:val="22"/>
        </w:rPr>
        <w:t xml:space="preserve">o blisko 11 proc. </w:t>
      </w:r>
      <w:r w:rsidR="00FD451E">
        <w:rPr>
          <w:rFonts w:asciiTheme="minorHAnsi" w:hAnsiTheme="minorHAnsi" w:cstheme="minorHAnsi"/>
          <w:sz w:val="22"/>
        </w:rPr>
        <w:t xml:space="preserve">do poziomu 86 582,44 tys. zł. </w:t>
      </w:r>
    </w:p>
    <w:p w:rsidR="00FD451E" w:rsidRDefault="00FD451E" w:rsidP="002831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FD451E" w:rsidRDefault="00FD451E" w:rsidP="002831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- Jak co roku, II </w:t>
      </w:r>
      <w:r w:rsidR="00FC2588">
        <w:rPr>
          <w:rFonts w:asciiTheme="minorHAnsi" w:hAnsiTheme="minorHAnsi" w:cstheme="minorHAnsi"/>
          <w:sz w:val="22"/>
        </w:rPr>
        <w:t xml:space="preserve">półrocze jest dla naszej branży bardzo intensywne. W </w:t>
      </w:r>
    </w:p>
    <w:p w:rsidR="00FD451E" w:rsidRDefault="00FD451E" w:rsidP="002831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FD451E" w:rsidRDefault="00FD451E" w:rsidP="002831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FD155D" w:rsidRPr="00FD155D" w:rsidRDefault="00B045AF" w:rsidP="002831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B045AF">
        <w:rPr>
          <w:rFonts w:asciiTheme="minorHAnsi" w:hAnsiTheme="minorHAnsi" w:cstheme="minorHAnsi"/>
          <w:sz w:val="22"/>
        </w:rPr>
        <w:t xml:space="preserve">Wynik netto III kwartału wykazał rekordową dynamikę +102 proc., natomiast w ujęciu narastającym została ona zneutralizowana przez wynik I kwartału, przez co zysk netto w ujęciu od stycznia do września wynosi 1,8 mln </w:t>
      </w:r>
      <w:proofErr w:type="spellStart"/>
      <w:r w:rsidRPr="00B045AF">
        <w:rPr>
          <w:rFonts w:asciiTheme="minorHAnsi" w:hAnsiTheme="minorHAnsi" w:cstheme="minorHAnsi"/>
          <w:sz w:val="22"/>
        </w:rPr>
        <w:t>zł</w:t>
      </w:r>
      <w:r>
        <w:rPr>
          <w:i/>
        </w:rPr>
        <w:t>.</w:t>
      </w:r>
      <w:r w:rsidR="00FD155D">
        <w:rPr>
          <w:rFonts w:asciiTheme="minorHAnsi" w:hAnsiTheme="minorHAnsi"/>
          <w:sz w:val="22"/>
          <w:szCs w:val="22"/>
        </w:rPr>
        <w:t>Drugi</w:t>
      </w:r>
      <w:proofErr w:type="spellEnd"/>
      <w:r w:rsidR="00FD155D">
        <w:rPr>
          <w:rFonts w:asciiTheme="minorHAnsi" w:hAnsiTheme="minorHAnsi"/>
          <w:sz w:val="22"/>
          <w:szCs w:val="22"/>
        </w:rPr>
        <w:t xml:space="preserve"> </w:t>
      </w:r>
      <w:r w:rsidR="002831AB" w:rsidRPr="00FD155D">
        <w:rPr>
          <w:rFonts w:asciiTheme="minorHAnsi" w:hAnsiTheme="minorHAnsi"/>
          <w:sz w:val="22"/>
          <w:szCs w:val="22"/>
        </w:rPr>
        <w:t>kwartał 2016 roku przyniósł</w:t>
      </w:r>
      <w:r w:rsidR="00FD155D">
        <w:rPr>
          <w:rFonts w:asciiTheme="minorHAnsi" w:hAnsiTheme="minorHAnsi"/>
          <w:sz w:val="22"/>
          <w:szCs w:val="22"/>
        </w:rPr>
        <w:t xml:space="preserve"> Grupie Kapitałowej LUG S.A.</w:t>
      </w:r>
      <w:r w:rsidR="002831AB" w:rsidRPr="00FD155D">
        <w:rPr>
          <w:rFonts w:asciiTheme="minorHAnsi" w:hAnsiTheme="minorHAnsi"/>
          <w:sz w:val="22"/>
          <w:szCs w:val="22"/>
        </w:rPr>
        <w:t xml:space="preserve"> odbicie, </w:t>
      </w:r>
      <w:r w:rsidR="00797672">
        <w:rPr>
          <w:rFonts w:asciiTheme="minorHAnsi" w:hAnsiTheme="minorHAnsi"/>
          <w:sz w:val="22"/>
          <w:szCs w:val="22"/>
        </w:rPr>
        <w:lastRenderedPageBreak/>
        <w:t xml:space="preserve">dzięki któremu po słabszym </w:t>
      </w:r>
      <w:bookmarkStart w:id="0" w:name="_GoBack"/>
      <w:bookmarkEnd w:id="0"/>
      <w:r w:rsidR="002831AB" w:rsidRPr="00FD155D">
        <w:rPr>
          <w:rFonts w:asciiTheme="minorHAnsi" w:hAnsiTheme="minorHAnsi"/>
          <w:sz w:val="22"/>
          <w:szCs w:val="22"/>
        </w:rPr>
        <w:t xml:space="preserve">I kwartale roku </w:t>
      </w:r>
      <w:r w:rsidR="00FD155D">
        <w:rPr>
          <w:rFonts w:asciiTheme="minorHAnsi" w:hAnsiTheme="minorHAnsi"/>
          <w:sz w:val="22"/>
          <w:szCs w:val="22"/>
        </w:rPr>
        <w:t>zrealizowała</w:t>
      </w:r>
      <w:r w:rsidR="002831AB" w:rsidRPr="00FD155D">
        <w:rPr>
          <w:rFonts w:asciiTheme="minorHAnsi" w:hAnsiTheme="minorHAnsi"/>
          <w:sz w:val="22"/>
          <w:szCs w:val="22"/>
        </w:rPr>
        <w:t xml:space="preserve"> przyjęte cele biznesowe oraz zneutralizowa</w:t>
      </w:r>
      <w:r w:rsidR="00FD155D">
        <w:rPr>
          <w:rFonts w:asciiTheme="minorHAnsi" w:hAnsiTheme="minorHAnsi"/>
          <w:sz w:val="22"/>
          <w:szCs w:val="22"/>
        </w:rPr>
        <w:t>ła</w:t>
      </w:r>
      <w:r w:rsidR="002831AB" w:rsidRPr="00FD155D">
        <w:rPr>
          <w:rFonts w:asciiTheme="minorHAnsi" w:hAnsiTheme="minorHAnsi"/>
          <w:sz w:val="22"/>
          <w:szCs w:val="22"/>
        </w:rPr>
        <w:t xml:space="preserve"> wpływ wyników za I kwartał na wyniki w całym 2016 roku </w:t>
      </w:r>
    </w:p>
    <w:p w:rsidR="00FD155D" w:rsidRDefault="00FD155D" w:rsidP="002831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</w:p>
    <w:p w:rsidR="009D2D2C" w:rsidRPr="00FD155D" w:rsidRDefault="00FD155D" w:rsidP="002831AB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FD155D">
        <w:rPr>
          <w:rFonts w:asciiTheme="minorHAnsi" w:hAnsiTheme="minorHAnsi"/>
          <w:sz w:val="22"/>
          <w:szCs w:val="22"/>
        </w:rPr>
        <w:t xml:space="preserve">- </w:t>
      </w:r>
      <w:r w:rsidRPr="00FD155D">
        <w:rPr>
          <w:rFonts w:asciiTheme="minorHAnsi" w:hAnsiTheme="minorHAnsi"/>
          <w:i/>
          <w:sz w:val="22"/>
          <w:szCs w:val="22"/>
        </w:rPr>
        <w:t>Znaczący wzrost przychodów w II kwartale 2016 roku to efekt bardzo dobrego kwartału w naszym wykonaniu. Zrealizowaliśmy projekty oświetleniowe, które w I kwartale br. uległy przesunięciu, co osłabiło wyniki pierwszych trzech miesięcy roku. Przychody ze sprzedaży w II kwartale 2016 roku osiągnęły najwyższy poziom w historii firmy, a przekroczenie własnych granic jeszcze bardziej zmotywowało nas do działania</w:t>
      </w:r>
      <w:r w:rsidR="009D2D2C" w:rsidRPr="00FD155D">
        <w:rPr>
          <w:rFonts w:asciiTheme="minorHAnsi" w:hAnsiTheme="minorHAnsi" w:cs="Palatino Linotype"/>
          <w:sz w:val="22"/>
          <w:szCs w:val="22"/>
        </w:rPr>
        <w:t xml:space="preserve"> – komentuje Ryszard Wtorkowski, Prezes Zarządu LUG S.A.</w:t>
      </w:r>
    </w:p>
    <w:p w:rsidR="009D2D2C" w:rsidRDefault="009D2D2C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2"/>
        </w:rPr>
      </w:pPr>
    </w:p>
    <w:p w:rsidR="00FD155D" w:rsidRDefault="00FD155D" w:rsidP="00FD155D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Tak istotny wzrost przychodów ze sprzedaży to w</w:t>
      </w:r>
      <w:r w:rsidRPr="00FD155D">
        <w:rPr>
          <w:rFonts w:asciiTheme="minorHAnsi" w:hAnsiTheme="minorHAnsi"/>
          <w:sz w:val="22"/>
        </w:rPr>
        <w:t xml:space="preserve"> głównej mierze zasługa dynamiki przychodów ze sprzedaży eksportowej, która wzrosła o 21,44%. Przychody realizowane w kraju dodatkowo wzmocniły tendencję wzrostową osiągając dynamikę na poziomie 3,45%. </w:t>
      </w:r>
    </w:p>
    <w:p w:rsidR="00FD155D" w:rsidRDefault="00FD155D" w:rsidP="00FD155D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FD155D" w:rsidRDefault="00FD155D" w:rsidP="00FD155D">
      <w:pPr>
        <w:spacing w:line="276" w:lineRule="auto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W</w:t>
      </w:r>
      <w:r w:rsidRPr="00FD155D">
        <w:rPr>
          <w:rFonts w:asciiTheme="minorHAnsi" w:hAnsiTheme="minorHAnsi"/>
          <w:sz w:val="22"/>
        </w:rPr>
        <w:t>zrost</w:t>
      </w:r>
      <w:r>
        <w:rPr>
          <w:rFonts w:asciiTheme="minorHAnsi" w:hAnsiTheme="minorHAnsi"/>
          <w:sz w:val="22"/>
        </w:rPr>
        <w:t>y</w:t>
      </w:r>
      <w:r w:rsidRPr="00FD155D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zostały odnotowane </w:t>
      </w:r>
      <w:r w:rsidRPr="00FD155D">
        <w:rPr>
          <w:rFonts w:asciiTheme="minorHAnsi" w:hAnsiTheme="minorHAnsi"/>
          <w:sz w:val="22"/>
        </w:rPr>
        <w:t xml:space="preserve">we wszystkich miesiącach II kwartału, lecz szczególnie silne ich oddziaływanie na wyniki Grupy Kapitałowej LUG S.A. było widoczne w czerwcu br. gdy </w:t>
      </w:r>
      <w:r>
        <w:rPr>
          <w:rFonts w:asciiTheme="minorHAnsi" w:hAnsiTheme="minorHAnsi"/>
          <w:sz w:val="22"/>
        </w:rPr>
        <w:t xml:space="preserve">wypracowano </w:t>
      </w:r>
      <w:r w:rsidRPr="00FD155D">
        <w:rPr>
          <w:rFonts w:asciiTheme="minorHAnsi" w:hAnsiTheme="minorHAnsi"/>
          <w:sz w:val="22"/>
        </w:rPr>
        <w:t xml:space="preserve">rekordowy w historii firmy poziom miesięcznych przychodów ze sprzedaży i zysku netto. </w:t>
      </w:r>
    </w:p>
    <w:p w:rsidR="00FD155D" w:rsidRDefault="00FD155D" w:rsidP="00FD155D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FD155D" w:rsidRPr="00594221" w:rsidRDefault="00594221" w:rsidP="00FD155D">
      <w:pPr>
        <w:spacing w:line="276" w:lineRule="auto"/>
        <w:jc w:val="both"/>
        <w:rPr>
          <w:rFonts w:asciiTheme="minorHAnsi" w:hAnsiTheme="minorHAnsi"/>
          <w:sz w:val="20"/>
        </w:rPr>
      </w:pPr>
      <w:r>
        <w:rPr>
          <w:rFonts w:asciiTheme="minorHAnsi" w:hAnsiTheme="minorHAnsi"/>
          <w:i/>
          <w:sz w:val="22"/>
        </w:rPr>
        <w:t xml:space="preserve">- </w:t>
      </w:r>
      <w:r w:rsidRPr="00594221">
        <w:rPr>
          <w:rFonts w:asciiTheme="minorHAnsi" w:hAnsiTheme="minorHAnsi"/>
          <w:i/>
          <w:sz w:val="22"/>
        </w:rPr>
        <w:t>Oceniamy, że tendencje wzrostowe mogę mieć charakter długofalowy i utrzymać się w kolejnych miesiącach, czego potwierdzeniem są bardzo dobre wyniki miesiąca lipca z dwucyfrową dynamiką przychodów</w:t>
      </w:r>
      <w:r w:rsidRPr="00594221">
        <w:rPr>
          <w:rFonts w:asciiTheme="minorHAnsi" w:hAnsiTheme="minorHAnsi"/>
          <w:sz w:val="22"/>
        </w:rPr>
        <w:t xml:space="preserve"> </w:t>
      </w:r>
      <w:r w:rsidRPr="00594221">
        <w:rPr>
          <w:rFonts w:asciiTheme="minorHAnsi" w:hAnsiTheme="minorHAnsi"/>
          <w:i/>
          <w:sz w:val="22"/>
        </w:rPr>
        <w:t>zarówno w kraju, jak i w eksporcie</w:t>
      </w:r>
      <w:r>
        <w:rPr>
          <w:rFonts w:asciiTheme="minorHAnsi" w:hAnsiTheme="minorHAnsi"/>
          <w:i/>
          <w:sz w:val="22"/>
        </w:rPr>
        <w:t xml:space="preserve"> – </w:t>
      </w:r>
      <w:r w:rsidRPr="00594221">
        <w:rPr>
          <w:rFonts w:asciiTheme="minorHAnsi" w:hAnsiTheme="minorHAnsi"/>
          <w:sz w:val="22"/>
        </w:rPr>
        <w:t>wyjaśnia Ryszard Wtorkowski.</w:t>
      </w:r>
    </w:p>
    <w:p w:rsidR="00FD155D" w:rsidRDefault="00FD155D" w:rsidP="00FD155D">
      <w:pPr>
        <w:spacing w:line="276" w:lineRule="auto"/>
        <w:jc w:val="both"/>
        <w:rPr>
          <w:rFonts w:asciiTheme="minorHAnsi" w:hAnsiTheme="minorHAnsi"/>
          <w:sz w:val="22"/>
        </w:rPr>
      </w:pPr>
    </w:p>
    <w:p w:rsidR="00FD155D" w:rsidRPr="00FD155D" w:rsidRDefault="00FD155D" w:rsidP="00FD155D">
      <w:pPr>
        <w:spacing w:line="276" w:lineRule="auto"/>
        <w:jc w:val="both"/>
        <w:rPr>
          <w:rFonts w:asciiTheme="minorHAnsi" w:hAnsiTheme="minorHAnsi"/>
          <w:sz w:val="22"/>
        </w:rPr>
      </w:pPr>
      <w:r w:rsidRPr="00FD155D">
        <w:rPr>
          <w:rFonts w:asciiTheme="minorHAnsi" w:hAnsiTheme="minorHAnsi"/>
          <w:sz w:val="22"/>
        </w:rPr>
        <w:t xml:space="preserve">W ujęciu półrocznym, bardzo dobry wynik II kwartału został zneutralizowany przez słabszy wynik </w:t>
      </w:r>
      <w:r w:rsidRPr="00FD155D">
        <w:rPr>
          <w:rFonts w:asciiTheme="minorHAnsi" w:hAnsiTheme="minorHAnsi"/>
          <w:sz w:val="22"/>
        </w:rPr>
        <w:br/>
        <w:t xml:space="preserve">I kwartału. W związku z czym w całym I półroczu 2016 roku przychody ze sprzedaży wyniosły 53 186,29 tys. zł i były o 0,15% niższe niż w I półroczu 2015 roku, gdy wyniosły 53 264,30 tys. zł. </w:t>
      </w:r>
    </w:p>
    <w:p w:rsidR="00594221" w:rsidRDefault="00594221" w:rsidP="009D2D2C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</w:rPr>
      </w:pPr>
    </w:p>
    <w:p w:rsidR="00FD155D" w:rsidRPr="00594221" w:rsidRDefault="00594221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0"/>
        </w:rPr>
      </w:pPr>
      <w:r w:rsidRPr="00594221">
        <w:rPr>
          <w:rFonts w:asciiTheme="minorHAnsi" w:hAnsiTheme="minorHAnsi"/>
          <w:sz w:val="22"/>
        </w:rPr>
        <w:t xml:space="preserve">Zysk netto w II kwartale 2016 roku wzrósł r/r o ponad 24% osiągając poziom </w:t>
      </w:r>
      <w:r w:rsidR="00B40872">
        <w:rPr>
          <w:rFonts w:asciiTheme="minorHAnsi" w:hAnsiTheme="minorHAnsi"/>
          <w:sz w:val="22"/>
        </w:rPr>
        <w:t>1 250,88</w:t>
      </w:r>
      <w:r w:rsidRPr="00594221">
        <w:rPr>
          <w:rFonts w:asciiTheme="minorHAnsi" w:hAnsiTheme="minorHAnsi"/>
          <w:sz w:val="22"/>
        </w:rPr>
        <w:t xml:space="preserve"> </w:t>
      </w:r>
      <w:r w:rsidR="00B40872">
        <w:rPr>
          <w:rFonts w:asciiTheme="minorHAnsi" w:hAnsiTheme="minorHAnsi"/>
          <w:sz w:val="22"/>
        </w:rPr>
        <w:t>tys.</w:t>
      </w:r>
      <w:r w:rsidRPr="00594221">
        <w:rPr>
          <w:rFonts w:asciiTheme="minorHAnsi" w:hAnsiTheme="minorHAnsi"/>
          <w:sz w:val="22"/>
        </w:rPr>
        <w:t xml:space="preserve"> zł, co pozwoliło wyrównać stratę netto z pierwszego kwartału i ostatecznie w całym I półroczu 2016 roku osiągnąć poziom </w:t>
      </w:r>
      <w:r w:rsidR="00B40872">
        <w:rPr>
          <w:rFonts w:asciiTheme="minorHAnsi" w:hAnsiTheme="minorHAnsi"/>
          <w:sz w:val="22"/>
        </w:rPr>
        <w:t>523,14 tys.</w:t>
      </w:r>
      <w:r w:rsidRPr="00594221">
        <w:rPr>
          <w:rFonts w:asciiTheme="minorHAnsi" w:hAnsiTheme="minorHAnsi"/>
          <w:sz w:val="22"/>
        </w:rPr>
        <w:t xml:space="preserve"> zł zysku netto.</w:t>
      </w:r>
    </w:p>
    <w:p w:rsidR="00FD155D" w:rsidRDefault="00FD155D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2"/>
        </w:rPr>
      </w:pPr>
    </w:p>
    <w:p w:rsidR="00FD155D" w:rsidRPr="00594221" w:rsidRDefault="00594221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0"/>
        </w:rPr>
      </w:pPr>
      <w:r>
        <w:rPr>
          <w:rFonts w:asciiTheme="minorHAnsi" w:hAnsiTheme="minorHAnsi"/>
          <w:sz w:val="22"/>
        </w:rPr>
        <w:t>W</w:t>
      </w:r>
      <w:r w:rsidRPr="00594221">
        <w:rPr>
          <w:rFonts w:asciiTheme="minorHAnsi" w:hAnsiTheme="minorHAnsi"/>
          <w:sz w:val="22"/>
        </w:rPr>
        <w:t xml:space="preserve"> II kwartale 2016 roku </w:t>
      </w:r>
      <w:r>
        <w:rPr>
          <w:rFonts w:asciiTheme="minorHAnsi" w:hAnsiTheme="minorHAnsi"/>
          <w:sz w:val="22"/>
        </w:rPr>
        <w:t xml:space="preserve">Grupa Kapitałowa LUG S.A. </w:t>
      </w:r>
      <w:r w:rsidRPr="00594221">
        <w:rPr>
          <w:rFonts w:asciiTheme="minorHAnsi" w:hAnsiTheme="minorHAnsi"/>
          <w:sz w:val="22"/>
        </w:rPr>
        <w:t>skupiała się na pozyskiwaniu nowych obiecujących projektów oświetleniowych oraz uruchomieniu projektów zmierzających do usprawnienia wybranych procesów wewnątrz organizacji.</w:t>
      </w:r>
    </w:p>
    <w:p w:rsidR="00FD155D" w:rsidRPr="00594221" w:rsidRDefault="00FD155D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0"/>
        </w:rPr>
      </w:pPr>
    </w:p>
    <w:p w:rsidR="00FD155D" w:rsidRDefault="00FD155D" w:rsidP="009D2D2C">
      <w:pPr>
        <w:autoSpaceDE w:val="0"/>
        <w:autoSpaceDN w:val="0"/>
        <w:adjustRightInd w:val="0"/>
        <w:jc w:val="both"/>
        <w:rPr>
          <w:rFonts w:asciiTheme="minorHAnsi" w:hAnsiTheme="minorHAnsi" w:cs="Palatino Linotype"/>
          <w:sz w:val="22"/>
        </w:rPr>
      </w:pPr>
    </w:p>
    <w:p w:rsidR="00247D11" w:rsidRDefault="00247D11" w:rsidP="00DF5F51">
      <w:pPr>
        <w:rPr>
          <w:rFonts w:ascii="Calibri" w:hAnsi="Calibri"/>
          <w:b/>
          <w:noProof/>
          <w:szCs w:val="22"/>
        </w:rPr>
      </w:pPr>
      <w:r>
        <w:rPr>
          <w:rFonts w:ascii="Calibri" w:hAnsi="Calibri"/>
          <w:b/>
          <w:noProof/>
          <w:szCs w:val="22"/>
        </w:rPr>
        <w:t xml:space="preserve">Wybrane dane finansowe </w:t>
      </w:r>
    </w:p>
    <w:p w:rsidR="00247D11" w:rsidRDefault="00247D11" w:rsidP="00DF5F51">
      <w:pPr>
        <w:rPr>
          <w:rFonts w:ascii="Calibri" w:hAnsi="Calibri"/>
          <w:noProof/>
          <w:szCs w:val="22"/>
        </w:rPr>
      </w:pPr>
      <w:r>
        <w:rPr>
          <w:rFonts w:ascii="Calibri" w:hAnsi="Calibri"/>
          <w:noProof/>
          <w:szCs w:val="22"/>
        </w:rPr>
        <w:t>[tys. PLN]</w:t>
      </w:r>
    </w:p>
    <w:p w:rsidR="00A274FD" w:rsidRDefault="00594221" w:rsidP="00664A2A">
      <w:pPr>
        <w:jc w:val="center"/>
        <w:rPr>
          <w:rFonts w:ascii="Calibri" w:hAnsi="Calibri"/>
          <w:noProof/>
          <w:szCs w:val="22"/>
        </w:rPr>
      </w:pPr>
      <w:r>
        <w:rPr>
          <w:noProof/>
        </w:rPr>
        <w:lastRenderedPageBreak/>
        <w:drawing>
          <wp:inline distT="0" distB="0" distL="0" distR="0" wp14:anchorId="6DDE7EA2" wp14:editId="51475FE9">
            <wp:extent cx="5904230" cy="1881244"/>
            <wp:effectExtent l="0" t="0" r="1270" b="508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188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B6E" w:rsidRDefault="00317B6E" w:rsidP="00DF5F51">
      <w:pPr>
        <w:rPr>
          <w:rFonts w:ascii="Calibri" w:hAnsi="Calibri"/>
          <w:noProof/>
          <w:szCs w:val="22"/>
        </w:rPr>
      </w:pPr>
    </w:p>
    <w:p w:rsidR="00317B6E" w:rsidRPr="0038330C" w:rsidRDefault="00317B6E" w:rsidP="00317B6E">
      <w:pPr>
        <w:jc w:val="both"/>
        <w:rPr>
          <w:rFonts w:asciiTheme="minorHAnsi" w:hAnsiTheme="minorHAnsi"/>
          <w:noProof/>
          <w:sz w:val="20"/>
          <w:szCs w:val="20"/>
        </w:rPr>
      </w:pPr>
      <w:r w:rsidRPr="0038330C">
        <w:rPr>
          <w:rFonts w:asciiTheme="minorHAnsi" w:hAnsiTheme="minorHAnsi"/>
          <w:noProof/>
          <w:sz w:val="20"/>
          <w:szCs w:val="20"/>
        </w:rPr>
        <w:t xml:space="preserve">Pełne </w:t>
      </w:r>
      <w:r w:rsidR="00D35A70" w:rsidRPr="0038330C">
        <w:rPr>
          <w:rFonts w:asciiTheme="minorHAnsi" w:hAnsiTheme="minorHAnsi"/>
          <w:noProof/>
          <w:sz w:val="20"/>
          <w:szCs w:val="20"/>
        </w:rPr>
        <w:t>wersje raportów rocznych (jednostkowy i skonsolidowany) wraz ze sprawozdaniami finansowymi</w:t>
      </w:r>
      <w:r w:rsidRPr="0038330C">
        <w:rPr>
          <w:rFonts w:asciiTheme="minorHAnsi" w:hAnsiTheme="minorHAnsi"/>
          <w:noProof/>
          <w:sz w:val="20"/>
          <w:szCs w:val="20"/>
        </w:rPr>
        <w:t xml:space="preserve"> </w:t>
      </w:r>
      <w:r w:rsidR="00D35A70" w:rsidRPr="0038330C">
        <w:rPr>
          <w:rFonts w:asciiTheme="minorHAnsi" w:hAnsiTheme="minorHAnsi"/>
          <w:noProof/>
          <w:sz w:val="20"/>
          <w:szCs w:val="20"/>
        </w:rPr>
        <w:t xml:space="preserve">znajdują się </w:t>
      </w:r>
      <w:r w:rsidRPr="0038330C">
        <w:rPr>
          <w:rFonts w:asciiTheme="minorHAnsi" w:hAnsiTheme="minorHAnsi"/>
          <w:noProof/>
          <w:sz w:val="20"/>
          <w:szCs w:val="20"/>
        </w:rPr>
        <w:t xml:space="preserve">na </w:t>
      </w:r>
      <w:hyperlink r:id="rId9" w:history="1">
        <w:r w:rsidRPr="0038330C">
          <w:rPr>
            <w:rStyle w:val="Hipercze"/>
            <w:rFonts w:asciiTheme="minorHAnsi" w:hAnsiTheme="minorHAnsi"/>
            <w:noProof/>
            <w:sz w:val="20"/>
            <w:szCs w:val="20"/>
          </w:rPr>
          <w:t>www.lug.com.pl</w:t>
        </w:r>
      </w:hyperlink>
    </w:p>
    <w:p w:rsidR="00317B6E" w:rsidRPr="0038330C" w:rsidRDefault="00317B6E" w:rsidP="00DF5F51">
      <w:pPr>
        <w:rPr>
          <w:rFonts w:asciiTheme="minorHAnsi" w:hAnsiTheme="minorHAnsi"/>
          <w:noProof/>
          <w:sz w:val="20"/>
          <w:szCs w:val="20"/>
        </w:rPr>
      </w:pPr>
    </w:p>
    <w:p w:rsidR="009D2D2C" w:rsidRDefault="009D2D2C" w:rsidP="00247D11">
      <w:pPr>
        <w:pStyle w:val="Text"/>
        <w:spacing w:after="0" w:line="240" w:lineRule="auto"/>
        <w:jc w:val="both"/>
        <w:rPr>
          <w:rFonts w:asciiTheme="minorHAnsi" w:hAnsiTheme="minorHAnsi" w:cs="Tahoma"/>
          <w:b/>
          <w:bCs/>
          <w:sz w:val="20"/>
          <w:szCs w:val="20"/>
        </w:rPr>
        <w:sectPr w:rsidR="009D2D2C" w:rsidSect="0012404D">
          <w:headerReference w:type="default" r:id="rId10"/>
          <w:footerReference w:type="default" r:id="rId11"/>
          <w:pgSz w:w="11906" w:h="16838" w:code="9"/>
          <w:pgMar w:top="1418" w:right="1304" w:bottom="1418" w:left="1304" w:header="1077" w:footer="1077" w:gutter="0"/>
          <w:cols w:space="708"/>
          <w:docGrid w:linePitch="360"/>
        </w:sectPr>
      </w:pPr>
    </w:p>
    <w:p w:rsidR="00247D11" w:rsidRPr="0038330C" w:rsidRDefault="00247D11" w:rsidP="00247D11">
      <w:pPr>
        <w:pStyle w:val="Text"/>
        <w:spacing w:after="0" w:line="240" w:lineRule="auto"/>
        <w:jc w:val="both"/>
        <w:rPr>
          <w:rFonts w:asciiTheme="minorHAnsi" w:hAnsiTheme="minorHAnsi" w:cs="Tahoma"/>
          <w:bCs/>
          <w:sz w:val="20"/>
          <w:szCs w:val="20"/>
        </w:rPr>
      </w:pPr>
      <w:r w:rsidRPr="0038330C">
        <w:rPr>
          <w:rFonts w:asciiTheme="minorHAnsi" w:hAnsiTheme="minorHAnsi" w:cs="Tahoma"/>
          <w:b/>
          <w:bCs/>
          <w:sz w:val="20"/>
          <w:szCs w:val="20"/>
        </w:rPr>
        <w:lastRenderedPageBreak/>
        <w:t xml:space="preserve">LUG S.A. </w:t>
      </w:r>
      <w:r w:rsidRPr="0038330C">
        <w:rPr>
          <w:rFonts w:asciiTheme="minorHAnsi" w:hAnsiTheme="minorHAnsi" w:cs="Tahoma"/>
          <w:bCs/>
          <w:sz w:val="20"/>
          <w:szCs w:val="20"/>
        </w:rPr>
        <w:t xml:space="preserve">to spółka holdingowa Grupy Kapitałowej LUG S.A. – jednego z czołowych europejskich producentów profesjonalnych rozwiązań oświetleniowych. Grupa sprzedaje swoje produkty w Polsce oraz w kilkudziesięciu krajach na całym świecie. Posiadająca 26 lat doświadczenia firma z siedzibą w Zielonej Górze, od 2008 roku funkcjonuje jako Grupa Kapitałowa. W jej skład wchodzą: LUG S.A., LUG Light Factory Sp. z o.o., LUG GmbH, LUG do </w:t>
      </w:r>
      <w:proofErr w:type="spellStart"/>
      <w:r w:rsidRPr="0038330C">
        <w:rPr>
          <w:rFonts w:asciiTheme="minorHAnsi" w:hAnsiTheme="minorHAnsi" w:cs="Tahoma"/>
          <w:bCs/>
          <w:sz w:val="20"/>
          <w:szCs w:val="20"/>
        </w:rPr>
        <w:t>Brazil</w:t>
      </w:r>
      <w:proofErr w:type="spellEnd"/>
      <w:r w:rsidRPr="0038330C">
        <w:rPr>
          <w:rFonts w:asciiTheme="minorHAnsi" w:hAnsiTheme="minorHAnsi" w:cs="Tahoma"/>
          <w:bCs/>
          <w:sz w:val="20"/>
          <w:szCs w:val="20"/>
        </w:rPr>
        <w:t xml:space="preserve"> </w:t>
      </w:r>
      <w:proofErr w:type="spellStart"/>
      <w:r w:rsidRPr="0038330C">
        <w:rPr>
          <w:rFonts w:asciiTheme="minorHAnsi" w:hAnsiTheme="minorHAnsi" w:cs="Tahoma"/>
          <w:bCs/>
          <w:sz w:val="20"/>
          <w:szCs w:val="20"/>
        </w:rPr>
        <w:t>Ltda</w:t>
      </w:r>
      <w:proofErr w:type="spellEnd"/>
      <w:r w:rsidRPr="0038330C">
        <w:rPr>
          <w:rFonts w:asciiTheme="minorHAnsi" w:hAnsiTheme="minorHAnsi" w:cs="Tahoma"/>
          <w:bCs/>
          <w:sz w:val="20"/>
          <w:szCs w:val="20"/>
        </w:rPr>
        <w:t xml:space="preserve">, LUG </w:t>
      </w:r>
      <w:proofErr w:type="spellStart"/>
      <w:r w:rsidRPr="0038330C">
        <w:rPr>
          <w:rFonts w:asciiTheme="minorHAnsi" w:hAnsiTheme="minorHAnsi" w:cs="Tahoma"/>
          <w:bCs/>
          <w:sz w:val="20"/>
          <w:szCs w:val="20"/>
        </w:rPr>
        <w:t>Lighting</w:t>
      </w:r>
      <w:proofErr w:type="spellEnd"/>
      <w:r w:rsidRPr="0038330C">
        <w:rPr>
          <w:rFonts w:asciiTheme="minorHAnsi" w:hAnsiTheme="minorHAnsi" w:cs="Tahoma"/>
          <w:bCs/>
          <w:sz w:val="20"/>
          <w:szCs w:val="20"/>
        </w:rPr>
        <w:t xml:space="preserve"> UK Ltd.  oraz TOW LUG Ukraina. LUG S.A. od listopada 2007 roku jest notowana na rynku </w:t>
      </w:r>
      <w:proofErr w:type="spellStart"/>
      <w:r w:rsidRPr="0038330C">
        <w:rPr>
          <w:rFonts w:asciiTheme="minorHAnsi" w:hAnsiTheme="minorHAnsi" w:cs="Tahoma"/>
          <w:bCs/>
          <w:sz w:val="20"/>
          <w:szCs w:val="20"/>
        </w:rPr>
        <w:t>NewConnect</w:t>
      </w:r>
      <w:proofErr w:type="spellEnd"/>
      <w:r w:rsidRPr="0038330C">
        <w:rPr>
          <w:rFonts w:asciiTheme="minorHAnsi" w:hAnsiTheme="minorHAnsi" w:cs="Tahoma"/>
          <w:bCs/>
          <w:sz w:val="20"/>
          <w:szCs w:val="20"/>
        </w:rPr>
        <w:t xml:space="preserve"> zarządzanym przez warszawską GPW. Więcej informacji: </w:t>
      </w:r>
      <w:hyperlink r:id="rId12" w:history="1">
        <w:r w:rsidRPr="0038330C">
          <w:rPr>
            <w:rStyle w:val="Hipercze"/>
            <w:rFonts w:asciiTheme="minorHAnsi" w:hAnsiTheme="minorHAnsi" w:cs="Tahoma"/>
            <w:bCs/>
            <w:sz w:val="20"/>
            <w:szCs w:val="20"/>
          </w:rPr>
          <w:t>www.lug.com.pl</w:t>
        </w:r>
      </w:hyperlink>
    </w:p>
    <w:p w:rsidR="00247D11" w:rsidRDefault="00247D11" w:rsidP="00DF5F51">
      <w:pPr>
        <w:rPr>
          <w:rFonts w:ascii="Calibri" w:hAnsi="Calibri"/>
          <w:noProof/>
          <w:szCs w:val="22"/>
        </w:rPr>
      </w:pPr>
    </w:p>
    <w:p w:rsidR="00247D11" w:rsidRPr="0038330C" w:rsidRDefault="00317B6E" w:rsidP="00DF5F51">
      <w:pPr>
        <w:rPr>
          <w:rFonts w:asciiTheme="minorHAnsi" w:hAnsiTheme="minorHAnsi"/>
          <w:b/>
          <w:sz w:val="20"/>
          <w:szCs w:val="20"/>
        </w:rPr>
      </w:pPr>
      <w:r w:rsidRPr="0038330C">
        <w:rPr>
          <w:rFonts w:asciiTheme="minorHAnsi" w:hAnsiTheme="minorHAnsi"/>
          <w:b/>
          <w:sz w:val="20"/>
          <w:szCs w:val="20"/>
        </w:rPr>
        <w:t>Kontakt dla mediów i inwestorów:</w:t>
      </w:r>
    </w:p>
    <w:p w:rsidR="00317B6E" w:rsidRPr="0038330C" w:rsidRDefault="00317B6E" w:rsidP="00DF5F51">
      <w:pPr>
        <w:rPr>
          <w:rFonts w:asciiTheme="minorHAnsi" w:hAnsiTheme="minorHAnsi"/>
          <w:sz w:val="20"/>
          <w:szCs w:val="20"/>
        </w:rPr>
      </w:pPr>
    </w:p>
    <w:p w:rsidR="00317B6E" w:rsidRPr="0038330C" w:rsidRDefault="00317B6E" w:rsidP="00DF5F51">
      <w:pPr>
        <w:rPr>
          <w:rFonts w:asciiTheme="minorHAnsi" w:hAnsiTheme="minorHAnsi"/>
          <w:b/>
          <w:sz w:val="20"/>
          <w:szCs w:val="20"/>
        </w:rPr>
      </w:pPr>
      <w:r w:rsidRPr="0038330C">
        <w:rPr>
          <w:rFonts w:asciiTheme="minorHAnsi" w:hAnsiTheme="minorHAnsi"/>
          <w:b/>
          <w:sz w:val="20"/>
          <w:szCs w:val="20"/>
        </w:rPr>
        <w:t>Monika Bartoszak</w:t>
      </w:r>
    </w:p>
    <w:p w:rsidR="00317B6E" w:rsidRPr="0038330C" w:rsidRDefault="00317B6E" w:rsidP="00DF5F51">
      <w:pPr>
        <w:rPr>
          <w:rFonts w:asciiTheme="minorHAnsi" w:hAnsiTheme="minorHAnsi"/>
          <w:sz w:val="20"/>
          <w:szCs w:val="20"/>
        </w:rPr>
      </w:pPr>
      <w:r w:rsidRPr="0038330C">
        <w:rPr>
          <w:rFonts w:asciiTheme="minorHAnsi" w:hAnsiTheme="minorHAnsi"/>
          <w:sz w:val="20"/>
          <w:szCs w:val="20"/>
        </w:rPr>
        <w:t>+48 510 183 993</w:t>
      </w:r>
    </w:p>
    <w:p w:rsidR="00317B6E" w:rsidRPr="0038330C" w:rsidRDefault="009F15B8" w:rsidP="00317B6E">
      <w:pPr>
        <w:rPr>
          <w:rFonts w:asciiTheme="minorHAnsi" w:hAnsiTheme="minorHAnsi"/>
          <w:sz w:val="20"/>
          <w:szCs w:val="20"/>
        </w:rPr>
      </w:pPr>
      <w:hyperlink r:id="rId13" w:history="1">
        <w:r w:rsidR="00317B6E" w:rsidRPr="0038330C">
          <w:rPr>
            <w:rStyle w:val="Hipercze"/>
            <w:rFonts w:asciiTheme="minorHAnsi" w:hAnsiTheme="minorHAnsi"/>
            <w:sz w:val="20"/>
            <w:szCs w:val="20"/>
          </w:rPr>
          <w:t>monika.bartoszak@lug.com.pl</w:t>
        </w:r>
      </w:hyperlink>
    </w:p>
    <w:p w:rsidR="00803F08" w:rsidRPr="0038330C" w:rsidRDefault="009F15B8" w:rsidP="00DF5F51">
      <w:pPr>
        <w:rPr>
          <w:rFonts w:asciiTheme="minorHAnsi" w:hAnsiTheme="minorHAnsi"/>
          <w:sz w:val="20"/>
          <w:szCs w:val="20"/>
        </w:rPr>
      </w:pPr>
      <w:hyperlink r:id="rId14" w:history="1">
        <w:r w:rsidR="00317B6E" w:rsidRPr="0038330C">
          <w:rPr>
            <w:rStyle w:val="Hipercze"/>
            <w:rFonts w:asciiTheme="minorHAnsi" w:hAnsiTheme="minorHAnsi"/>
            <w:sz w:val="20"/>
            <w:szCs w:val="20"/>
          </w:rPr>
          <w:t>relacje@lug.com.pl</w:t>
        </w:r>
      </w:hyperlink>
    </w:p>
    <w:sectPr w:rsidR="00803F08" w:rsidRPr="0038330C" w:rsidSect="0012404D">
      <w:pgSz w:w="11906" w:h="16838" w:code="9"/>
      <w:pgMar w:top="1418" w:right="1304" w:bottom="1418" w:left="1304" w:header="1077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5B8" w:rsidRDefault="009F15B8">
      <w:r>
        <w:separator/>
      </w:r>
    </w:p>
  </w:endnote>
  <w:endnote w:type="continuationSeparator" w:id="0">
    <w:p w:rsidR="009F15B8" w:rsidRDefault="009F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DINPl">
    <w:altName w:val="Courier New"/>
    <w:charset w:val="EE"/>
    <w:family w:val="auto"/>
    <w:pitch w:val="variable"/>
    <w:sig w:usb0="00000001" w:usb1="0000004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8B1" w:rsidRPr="001000FF" w:rsidRDefault="00CF47ED">
    <w:pPr>
      <w:pStyle w:val="Stopka"/>
    </w:pPr>
    <w:r>
      <w:rPr>
        <w:noProof/>
      </w:rPr>
      <w:drawing>
        <wp:inline distT="0" distB="0" distL="0" distR="0" wp14:anchorId="0A133BD6" wp14:editId="1EEB40F5">
          <wp:extent cx="5924550" cy="581025"/>
          <wp:effectExtent l="0" t="0" r="0" b="9525"/>
          <wp:docPr id="2" name="Obraz 2" descr="Kopia_zapasowa_LUG papier firmowy_light facto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a_zapasowa_LUG papier firmowy_light facto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5B8" w:rsidRDefault="009F15B8">
      <w:r>
        <w:separator/>
      </w:r>
    </w:p>
  </w:footnote>
  <w:footnote w:type="continuationSeparator" w:id="0">
    <w:p w:rsidR="009F15B8" w:rsidRDefault="009F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281" w:rsidRPr="00A83E2A" w:rsidRDefault="00CF47ED">
    <w:pPr>
      <w:pStyle w:val="Nagwek"/>
    </w:pPr>
    <w:r>
      <w:rPr>
        <w:noProof/>
      </w:rPr>
      <w:drawing>
        <wp:inline distT="0" distB="0" distL="0" distR="0" wp14:anchorId="10CB9772" wp14:editId="6D7DB199">
          <wp:extent cx="5943600" cy="552450"/>
          <wp:effectExtent l="0" t="0" r="0" b="0"/>
          <wp:docPr id="1" name="Obraz 1" descr="nagłówek_lug 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łówek_lug 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E2A">
      <w:t xml:space="preserve"> </w:t>
    </w:r>
    <w:r w:rsidR="005B1722">
      <w:t xml:space="preserve">        </w:t>
    </w:r>
  </w:p>
  <w:p w:rsidR="00B30281" w:rsidRPr="007858B1" w:rsidRDefault="00B30281">
    <w:pPr>
      <w:pStyle w:val="Nagwek"/>
      <w:rPr>
        <w:rFonts w:ascii="DINPl" w:hAnsi="DINPl"/>
      </w:rPr>
    </w:pPr>
    <w:r>
      <w:t xml:space="preserve">   </w:t>
    </w:r>
    <w:r w:rsidR="007858B1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573BC"/>
    <w:multiLevelType w:val="hybridMultilevel"/>
    <w:tmpl w:val="A7D63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643A"/>
    <w:multiLevelType w:val="hybridMultilevel"/>
    <w:tmpl w:val="A68CC01A"/>
    <w:lvl w:ilvl="0" w:tplc="7692203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20085D42">
      <w:start w:val="1"/>
      <w:numFmt w:val="lowerLetter"/>
      <w:lvlText w:val="%2."/>
      <w:lvlJc w:val="left"/>
      <w:pPr>
        <w:ind w:left="249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A8750BC"/>
    <w:multiLevelType w:val="hybridMultilevel"/>
    <w:tmpl w:val="288E4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5202E"/>
    <w:multiLevelType w:val="hybridMultilevel"/>
    <w:tmpl w:val="F886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7DD9"/>
    <w:multiLevelType w:val="hybridMultilevel"/>
    <w:tmpl w:val="6588AF42"/>
    <w:lvl w:ilvl="0" w:tplc="DB76EDB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B46707"/>
    <w:multiLevelType w:val="hybridMultilevel"/>
    <w:tmpl w:val="BD341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48E"/>
    <w:rsid w:val="00005541"/>
    <w:rsid w:val="00006765"/>
    <w:rsid w:val="00026392"/>
    <w:rsid w:val="00055E7D"/>
    <w:rsid w:val="000642FA"/>
    <w:rsid w:val="00070395"/>
    <w:rsid w:val="000821FE"/>
    <w:rsid w:val="000C341D"/>
    <w:rsid w:val="000F0201"/>
    <w:rsid w:val="001000FF"/>
    <w:rsid w:val="00122D1E"/>
    <w:rsid w:val="0012404D"/>
    <w:rsid w:val="00124B17"/>
    <w:rsid w:val="0016578C"/>
    <w:rsid w:val="001B34CA"/>
    <w:rsid w:val="001D0402"/>
    <w:rsid w:val="0021240B"/>
    <w:rsid w:val="00220A66"/>
    <w:rsid w:val="00244B02"/>
    <w:rsid w:val="00245355"/>
    <w:rsid w:val="00247D11"/>
    <w:rsid w:val="002515FF"/>
    <w:rsid w:val="00262876"/>
    <w:rsid w:val="002831AB"/>
    <w:rsid w:val="00284FD0"/>
    <w:rsid w:val="002942A2"/>
    <w:rsid w:val="002A7D41"/>
    <w:rsid w:val="002B0413"/>
    <w:rsid w:val="002F1F4B"/>
    <w:rsid w:val="00317B6E"/>
    <w:rsid w:val="00334FB5"/>
    <w:rsid w:val="00346F57"/>
    <w:rsid w:val="003517A2"/>
    <w:rsid w:val="00363E52"/>
    <w:rsid w:val="003652F4"/>
    <w:rsid w:val="00380E61"/>
    <w:rsid w:val="0038330C"/>
    <w:rsid w:val="003B030B"/>
    <w:rsid w:val="003E4A26"/>
    <w:rsid w:val="003F23F4"/>
    <w:rsid w:val="004414C7"/>
    <w:rsid w:val="00454A31"/>
    <w:rsid w:val="00472E4B"/>
    <w:rsid w:val="004C6C4C"/>
    <w:rsid w:val="00531831"/>
    <w:rsid w:val="005766D8"/>
    <w:rsid w:val="00594221"/>
    <w:rsid w:val="00596088"/>
    <w:rsid w:val="005B1722"/>
    <w:rsid w:val="005F766A"/>
    <w:rsid w:val="005F792F"/>
    <w:rsid w:val="006217BE"/>
    <w:rsid w:val="00640F6F"/>
    <w:rsid w:val="0064474D"/>
    <w:rsid w:val="00655997"/>
    <w:rsid w:val="00664A2A"/>
    <w:rsid w:val="006945E8"/>
    <w:rsid w:val="006A44D3"/>
    <w:rsid w:val="006C20C0"/>
    <w:rsid w:val="006D4AE3"/>
    <w:rsid w:val="006E4CD1"/>
    <w:rsid w:val="00711192"/>
    <w:rsid w:val="00743F62"/>
    <w:rsid w:val="00763BF0"/>
    <w:rsid w:val="00770619"/>
    <w:rsid w:val="007858B1"/>
    <w:rsid w:val="00797672"/>
    <w:rsid w:val="007B2AD5"/>
    <w:rsid w:val="007B2B71"/>
    <w:rsid w:val="007C4322"/>
    <w:rsid w:val="007D2789"/>
    <w:rsid w:val="007F64A8"/>
    <w:rsid w:val="00803F08"/>
    <w:rsid w:val="00804521"/>
    <w:rsid w:val="00830F20"/>
    <w:rsid w:val="00857013"/>
    <w:rsid w:val="008A2022"/>
    <w:rsid w:val="008B35AA"/>
    <w:rsid w:val="00935224"/>
    <w:rsid w:val="00962956"/>
    <w:rsid w:val="009925F8"/>
    <w:rsid w:val="009D2D2C"/>
    <w:rsid w:val="009E64B9"/>
    <w:rsid w:val="009F15B8"/>
    <w:rsid w:val="00A00411"/>
    <w:rsid w:val="00A060DB"/>
    <w:rsid w:val="00A274FD"/>
    <w:rsid w:val="00A83E2A"/>
    <w:rsid w:val="00A955BD"/>
    <w:rsid w:val="00AD031A"/>
    <w:rsid w:val="00AD3614"/>
    <w:rsid w:val="00AE457F"/>
    <w:rsid w:val="00B045AF"/>
    <w:rsid w:val="00B04E7C"/>
    <w:rsid w:val="00B15E8C"/>
    <w:rsid w:val="00B20D15"/>
    <w:rsid w:val="00B30281"/>
    <w:rsid w:val="00B40872"/>
    <w:rsid w:val="00B77EA1"/>
    <w:rsid w:val="00BE580E"/>
    <w:rsid w:val="00C02204"/>
    <w:rsid w:val="00C44584"/>
    <w:rsid w:val="00C55A35"/>
    <w:rsid w:val="00CA1313"/>
    <w:rsid w:val="00CD36E9"/>
    <w:rsid w:val="00CE3245"/>
    <w:rsid w:val="00CF43E2"/>
    <w:rsid w:val="00CF47ED"/>
    <w:rsid w:val="00D2390D"/>
    <w:rsid w:val="00D34946"/>
    <w:rsid w:val="00D35A70"/>
    <w:rsid w:val="00D4158A"/>
    <w:rsid w:val="00D444D8"/>
    <w:rsid w:val="00D47BF0"/>
    <w:rsid w:val="00D567A2"/>
    <w:rsid w:val="00D5748E"/>
    <w:rsid w:val="00D72FA5"/>
    <w:rsid w:val="00DF5F51"/>
    <w:rsid w:val="00E2706C"/>
    <w:rsid w:val="00E93A15"/>
    <w:rsid w:val="00E95E8B"/>
    <w:rsid w:val="00EE36C2"/>
    <w:rsid w:val="00F1031D"/>
    <w:rsid w:val="00FC2588"/>
    <w:rsid w:val="00FD155D"/>
    <w:rsid w:val="00FD3C5C"/>
    <w:rsid w:val="00FD451E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11E244"/>
  <w15:docId w15:val="{3B22068F-0FE1-4ECF-BC0E-0B1529E1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302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302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30281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unhideWhenUsed/>
    <w:rsid w:val="00E93A15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CE32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E3245"/>
    <w:pPr>
      <w:spacing w:before="100" w:beforeAutospacing="1" w:after="100" w:afterAutospacing="1"/>
    </w:pPr>
  </w:style>
  <w:style w:type="character" w:customStyle="1" w:styleId="dane">
    <w:name w:val="dane"/>
    <w:basedOn w:val="Domylnaczcionkaakapitu"/>
    <w:rsid w:val="00CE324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2F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2FA5"/>
  </w:style>
  <w:style w:type="character" w:styleId="Odwoanieprzypisukocowego">
    <w:name w:val="endnote reference"/>
    <w:basedOn w:val="Domylnaczcionkaakapitu"/>
    <w:uiPriority w:val="99"/>
    <w:semiHidden/>
    <w:unhideWhenUsed/>
    <w:rsid w:val="00D72FA5"/>
    <w:rPr>
      <w:vertAlign w:val="superscript"/>
    </w:rPr>
  </w:style>
  <w:style w:type="character" w:styleId="Pogrubienie">
    <w:name w:val="Strong"/>
    <w:uiPriority w:val="22"/>
    <w:qFormat/>
    <w:rsid w:val="0021240B"/>
    <w:rPr>
      <w:b/>
      <w:bCs/>
    </w:rPr>
  </w:style>
  <w:style w:type="character" w:customStyle="1" w:styleId="Nagwek1Znak">
    <w:name w:val="Nagłówek 1 Znak"/>
    <w:link w:val="Nagwek1"/>
    <w:rsid w:val="00D2390D"/>
    <w:rPr>
      <w:rFonts w:ascii="Arial" w:hAnsi="Arial" w:cs="Arial"/>
      <w:b/>
      <w:bCs/>
      <w:kern w:val="32"/>
      <w:sz w:val="32"/>
      <w:szCs w:val="32"/>
    </w:rPr>
  </w:style>
  <w:style w:type="character" w:customStyle="1" w:styleId="TextChar">
    <w:name w:val="Text Char"/>
    <w:link w:val="Text"/>
    <w:locked/>
    <w:rsid w:val="00D2390D"/>
    <w:rPr>
      <w:rFonts w:ascii="Century Gothic" w:hAnsi="Century Gothic"/>
      <w:sz w:val="18"/>
      <w:szCs w:val="18"/>
      <w:lang w:bidi="pl-PL"/>
    </w:rPr>
  </w:style>
  <w:style w:type="paragraph" w:customStyle="1" w:styleId="Text">
    <w:name w:val="Text"/>
    <w:basedOn w:val="Normalny"/>
    <w:link w:val="TextChar"/>
    <w:rsid w:val="00D2390D"/>
    <w:pPr>
      <w:spacing w:after="220" w:line="336" w:lineRule="auto"/>
    </w:pPr>
    <w:rPr>
      <w:rFonts w:ascii="Century Gothic" w:hAnsi="Century Gothic"/>
      <w:sz w:val="18"/>
      <w:szCs w:val="18"/>
      <w:lang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13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34946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F23F4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3F23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onika.bartoszak@lug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ug.com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ug.com.pl" TargetMode="External"/><Relationship Id="rId14" Type="http://schemas.openxmlformats.org/officeDocument/2006/relationships/hyperlink" Target="mailto:relacje@lug.com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5B7F-6699-4977-8224-AF67F97B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712</Words>
  <Characters>4276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lug</Company>
  <LinksUpToDate>false</LinksUpToDate>
  <CharactersWithSpaces>4979</CharactersWithSpaces>
  <SharedDoc>false</SharedDoc>
  <HLinks>
    <vt:vector size="6" baseType="variant">
      <vt:variant>
        <vt:i4>7405606</vt:i4>
      </vt:variant>
      <vt:variant>
        <vt:i4>0</vt:i4>
      </vt:variant>
      <vt:variant>
        <vt:i4>0</vt:i4>
      </vt:variant>
      <vt:variant>
        <vt:i4>5</vt:i4>
      </vt:variant>
      <vt:variant>
        <vt:lpwstr>http://www.lug.com.pl/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Szczesniak</dc:creator>
  <cp:lastModifiedBy>Monika</cp:lastModifiedBy>
  <cp:revision>17</cp:revision>
  <cp:lastPrinted>2016-08-12T08:58:00Z</cp:lastPrinted>
  <dcterms:created xsi:type="dcterms:W3CDTF">2016-01-29T10:54:00Z</dcterms:created>
  <dcterms:modified xsi:type="dcterms:W3CDTF">2016-11-13T23:33:00Z</dcterms:modified>
</cp:coreProperties>
</file>