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90D" w:rsidRDefault="00D2390D" w:rsidP="00D2390D">
      <w:pPr>
        <w:pStyle w:val="Nagwek1"/>
        <w:spacing w:before="120"/>
        <w:jc w:val="right"/>
        <w:rPr>
          <w:rFonts w:ascii="Calibri" w:hAnsi="Calibri" w:cs="Tahoma"/>
          <w:color w:val="404040"/>
        </w:rPr>
      </w:pPr>
      <w:r>
        <w:rPr>
          <w:rFonts w:ascii="Calibri" w:hAnsi="Calibri" w:cs="Tahoma"/>
          <w:color w:val="404040"/>
        </w:rPr>
        <w:t>Informacja prasowa</w:t>
      </w:r>
    </w:p>
    <w:p w:rsidR="005B1722" w:rsidRDefault="00360485" w:rsidP="00DF5F51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13</w:t>
      </w:r>
      <w:r w:rsidR="00DF5F51">
        <w:rPr>
          <w:rFonts w:ascii="Calibri" w:hAnsi="Calibri"/>
          <w:sz w:val="22"/>
          <w:szCs w:val="22"/>
        </w:rPr>
        <w:t>.</w:t>
      </w:r>
      <w:r w:rsidR="00A00411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>6</w:t>
      </w:r>
      <w:r w:rsidR="00DF5F51">
        <w:rPr>
          <w:rFonts w:ascii="Calibri" w:hAnsi="Calibri"/>
          <w:sz w:val="22"/>
          <w:szCs w:val="22"/>
        </w:rPr>
        <w:t>.201</w:t>
      </w:r>
      <w:r w:rsidR="00A00411">
        <w:rPr>
          <w:rFonts w:ascii="Calibri" w:hAnsi="Calibri"/>
          <w:sz w:val="22"/>
          <w:szCs w:val="22"/>
        </w:rPr>
        <w:t>6</w:t>
      </w:r>
      <w:r w:rsidR="00DF5F51">
        <w:rPr>
          <w:rFonts w:ascii="Calibri" w:hAnsi="Calibri"/>
          <w:sz w:val="22"/>
          <w:szCs w:val="22"/>
        </w:rPr>
        <w:t>r.</w:t>
      </w:r>
    </w:p>
    <w:p w:rsidR="00DF5F51" w:rsidRPr="00E95E8B" w:rsidRDefault="00DF5F51" w:rsidP="00DF5F51">
      <w:pPr>
        <w:jc w:val="right"/>
        <w:rPr>
          <w:rFonts w:ascii="Calibri" w:hAnsi="Calibri"/>
          <w:sz w:val="10"/>
          <w:szCs w:val="22"/>
        </w:rPr>
      </w:pPr>
    </w:p>
    <w:p w:rsidR="00DF5F51" w:rsidRPr="00E95E8B" w:rsidRDefault="00DF5F51" w:rsidP="00DF5F51">
      <w:pPr>
        <w:jc w:val="right"/>
        <w:rPr>
          <w:rFonts w:ascii="Calibri" w:hAnsi="Calibri"/>
          <w:sz w:val="10"/>
          <w:szCs w:val="22"/>
        </w:rPr>
      </w:pPr>
    </w:p>
    <w:p w:rsidR="00E2706C" w:rsidRPr="00E2706C" w:rsidRDefault="00E2706C" w:rsidP="00DF5F51">
      <w:pPr>
        <w:jc w:val="right"/>
        <w:rPr>
          <w:rFonts w:ascii="Calibri" w:hAnsi="Calibri"/>
          <w:szCs w:val="22"/>
        </w:rPr>
      </w:pPr>
    </w:p>
    <w:p w:rsidR="00DF5F51" w:rsidRPr="00247D11" w:rsidRDefault="00247D11" w:rsidP="00DF5F51">
      <w:pPr>
        <w:rPr>
          <w:rFonts w:ascii="Calibri" w:hAnsi="Calibri"/>
          <w:sz w:val="32"/>
          <w:szCs w:val="22"/>
        </w:rPr>
      </w:pPr>
      <w:r w:rsidRPr="00247D11">
        <w:rPr>
          <w:rFonts w:ascii="Calibri" w:hAnsi="Calibri"/>
          <w:sz w:val="32"/>
          <w:szCs w:val="22"/>
        </w:rPr>
        <w:t xml:space="preserve">Grupa Kapitałowa LUG S.A.: </w:t>
      </w:r>
    </w:p>
    <w:p w:rsidR="00247D11" w:rsidRPr="00247D11" w:rsidRDefault="00360485" w:rsidP="00DF5F51">
      <w:pPr>
        <w:rPr>
          <w:rFonts w:ascii="Calibri" w:hAnsi="Calibri"/>
          <w:b/>
          <w:sz w:val="36"/>
          <w:szCs w:val="22"/>
        </w:rPr>
      </w:pPr>
      <w:r>
        <w:rPr>
          <w:rFonts w:ascii="Calibri" w:hAnsi="Calibri"/>
          <w:b/>
          <w:sz w:val="36"/>
          <w:szCs w:val="22"/>
        </w:rPr>
        <w:t>LUG S.A. zwycięzcą konkursu Złota Strona Emitenta IX</w:t>
      </w:r>
    </w:p>
    <w:p w:rsidR="00FD5415" w:rsidRDefault="00FD5415" w:rsidP="00DF5F51">
      <w:pPr>
        <w:rPr>
          <w:rFonts w:ascii="Calibri" w:hAnsi="Calibri"/>
          <w:b/>
          <w:noProof/>
          <w:sz w:val="28"/>
          <w:szCs w:val="22"/>
        </w:rPr>
      </w:pPr>
    </w:p>
    <w:p w:rsidR="00360485" w:rsidRDefault="00247D11" w:rsidP="00AD47C5">
      <w:pPr>
        <w:jc w:val="both"/>
        <w:rPr>
          <w:rFonts w:ascii="Calibri" w:hAnsi="Calibri"/>
          <w:noProof/>
          <w:sz w:val="22"/>
          <w:szCs w:val="22"/>
        </w:rPr>
      </w:pPr>
      <w:r w:rsidRPr="007B2AD5">
        <w:rPr>
          <w:rFonts w:ascii="Calibri" w:hAnsi="Calibri"/>
          <w:noProof/>
          <w:sz w:val="22"/>
          <w:szCs w:val="22"/>
        </w:rPr>
        <w:t>Zielona Góra – Grupa Kapitałowa LUG S.A. (NewConnect: LUG</w:t>
      </w:r>
      <w:r w:rsidR="003D521C">
        <w:rPr>
          <w:rFonts w:ascii="Calibri" w:hAnsi="Calibri"/>
          <w:noProof/>
          <w:sz w:val="22"/>
          <w:szCs w:val="22"/>
        </w:rPr>
        <w:t xml:space="preserve">) </w:t>
      </w:r>
      <w:r w:rsidR="00360485">
        <w:rPr>
          <w:rFonts w:ascii="Calibri" w:hAnsi="Calibri"/>
          <w:noProof/>
          <w:sz w:val="22"/>
          <w:szCs w:val="22"/>
        </w:rPr>
        <w:t>zwyciężyła w dziewiątej edycji konkursu Złota Strona Emitenta. Spółka jest bezkonkurencyjna w kategorii spółek z rynku NewConnect, co potwierdziła zajęciem piątego w historii konkursu i czwartego z rzędu I miejsca. W ramach konkursu wyłoniono zwycięzców w pięciu kategoriach:</w:t>
      </w:r>
    </w:p>
    <w:p w:rsidR="00360485" w:rsidRDefault="00360485" w:rsidP="00AD47C5">
      <w:pPr>
        <w:jc w:val="both"/>
        <w:rPr>
          <w:rFonts w:ascii="Calibri" w:hAnsi="Calibri"/>
          <w:noProof/>
          <w:sz w:val="22"/>
          <w:szCs w:val="22"/>
        </w:rPr>
      </w:pPr>
    </w:p>
    <w:p w:rsidR="00360485" w:rsidRDefault="00360485" w:rsidP="00AD47C5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noProof/>
        </w:rPr>
      </w:pPr>
      <w:r>
        <w:rPr>
          <w:noProof/>
        </w:rPr>
        <w:t xml:space="preserve">spółki z rynku NewConnect – </w:t>
      </w:r>
      <w:r w:rsidRPr="00360485">
        <w:rPr>
          <w:b/>
          <w:noProof/>
        </w:rPr>
        <w:t>LUG S.A.</w:t>
      </w:r>
      <w:r w:rsidR="002C6422" w:rsidRPr="00360485">
        <w:rPr>
          <w:b/>
          <w:noProof/>
        </w:rPr>
        <w:t>;</w:t>
      </w:r>
    </w:p>
    <w:p w:rsidR="003D521C" w:rsidRPr="00360485" w:rsidRDefault="00360485" w:rsidP="00AD47C5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Style w:val="Pogrubienie"/>
          <w:b w:val="0"/>
          <w:bCs w:val="0"/>
          <w:noProof/>
        </w:rPr>
      </w:pPr>
      <w:r>
        <w:t>p</w:t>
      </w:r>
      <w:r>
        <w:t>olskie spółki należące do indeksów WIG20 i mWIG40</w:t>
      </w:r>
      <w:r>
        <w:t xml:space="preserve"> - </w:t>
      </w:r>
      <w:r>
        <w:rPr>
          <w:rStyle w:val="Pogrubienie"/>
        </w:rPr>
        <w:t>Polskie Górnictwo Naftowe i Gazownictwo S.A.</w:t>
      </w:r>
      <w:r>
        <w:rPr>
          <w:rStyle w:val="Pogrubienie"/>
        </w:rPr>
        <w:t>;</w:t>
      </w:r>
    </w:p>
    <w:p w:rsidR="00360485" w:rsidRPr="00360485" w:rsidRDefault="00360485" w:rsidP="00AD47C5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Style w:val="Pogrubienie"/>
          <w:b w:val="0"/>
          <w:bCs w:val="0"/>
          <w:noProof/>
        </w:rPr>
      </w:pPr>
      <w:r>
        <w:t>p</w:t>
      </w:r>
      <w:r>
        <w:t xml:space="preserve">olskie spółki należące do indeksu sWIG80 - </w:t>
      </w:r>
      <w:r>
        <w:rPr>
          <w:rStyle w:val="Pogrubienie"/>
        </w:rPr>
        <w:t>Dom Development S.A.</w:t>
      </w:r>
      <w:r>
        <w:rPr>
          <w:rStyle w:val="Pogrubienie"/>
        </w:rPr>
        <w:t>;</w:t>
      </w:r>
    </w:p>
    <w:p w:rsidR="00360485" w:rsidRPr="00360485" w:rsidRDefault="00360485" w:rsidP="00AD47C5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Style w:val="Pogrubienie"/>
          <w:b w:val="0"/>
          <w:bCs w:val="0"/>
          <w:noProof/>
        </w:rPr>
      </w:pPr>
      <w:r>
        <w:t>p</w:t>
      </w:r>
      <w:r>
        <w:t xml:space="preserve">olskie spółki notowane na GPW nie należące do indeksów WIG20, mWIG40 i sWIG80 - </w:t>
      </w:r>
      <w:r>
        <w:rPr>
          <w:rStyle w:val="Pogrubienie"/>
        </w:rPr>
        <w:t>Ambra S.A.</w:t>
      </w:r>
      <w:r>
        <w:rPr>
          <w:rStyle w:val="Pogrubienie"/>
        </w:rPr>
        <w:t>;</w:t>
      </w:r>
    </w:p>
    <w:p w:rsidR="00360485" w:rsidRPr="00360485" w:rsidRDefault="00360485" w:rsidP="00AD47C5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noProof/>
        </w:rPr>
      </w:pPr>
      <w:r>
        <w:t>s</w:t>
      </w:r>
      <w:r>
        <w:t xml:space="preserve">półki zagraniczne notowane na GPW w Warszawie (w tym </w:t>
      </w:r>
      <w:proofErr w:type="spellStart"/>
      <w:r>
        <w:t>NewConnect</w:t>
      </w:r>
      <w:proofErr w:type="spellEnd"/>
      <w:r>
        <w:t xml:space="preserve">) - </w:t>
      </w:r>
      <w:proofErr w:type="spellStart"/>
      <w:r>
        <w:rPr>
          <w:rStyle w:val="Pogrubienie"/>
        </w:rPr>
        <w:t>Serinus</w:t>
      </w:r>
      <w:proofErr w:type="spellEnd"/>
      <w:r>
        <w:rPr>
          <w:rStyle w:val="Pogrubienie"/>
        </w:rPr>
        <w:t xml:space="preserve"> Energy Inc</w:t>
      </w:r>
      <w:r>
        <w:rPr>
          <w:rStyle w:val="Pogrubienie"/>
        </w:rPr>
        <w:t>.</w:t>
      </w:r>
    </w:p>
    <w:p w:rsidR="00360485" w:rsidRDefault="00360485" w:rsidP="00DF5F51">
      <w:pPr>
        <w:rPr>
          <w:rFonts w:ascii="Calibri" w:hAnsi="Calibri"/>
          <w:b/>
          <w:noProof/>
          <w:szCs w:val="22"/>
        </w:rPr>
      </w:pPr>
    </w:p>
    <w:p w:rsidR="00360485" w:rsidRDefault="00AD47C5" w:rsidP="00DF5F51">
      <w:pPr>
        <w:rPr>
          <w:rFonts w:ascii="Calibri" w:hAnsi="Calibri"/>
          <w:b/>
          <w:noProof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4C1AAF" wp14:editId="10A88963">
            <wp:simplePos x="0" y="0"/>
            <wp:positionH relativeFrom="margin">
              <wp:align>center</wp:align>
            </wp:positionH>
            <wp:positionV relativeFrom="paragraph">
              <wp:posOffset>21590</wp:posOffset>
            </wp:positionV>
            <wp:extent cx="4519295" cy="2990850"/>
            <wp:effectExtent l="0" t="0" r="0" b="0"/>
            <wp:wrapTight wrapText="bothSides">
              <wp:wrapPolygon edited="0">
                <wp:start x="0" y="0"/>
                <wp:lineTo x="0" y="21462"/>
                <wp:lineTo x="21488" y="21462"/>
                <wp:lineTo x="21488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929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485" w:rsidRDefault="00360485" w:rsidP="00DF5F51">
      <w:pPr>
        <w:rPr>
          <w:rFonts w:ascii="Calibri" w:hAnsi="Calibri"/>
          <w:b/>
          <w:noProof/>
          <w:szCs w:val="22"/>
        </w:rPr>
      </w:pPr>
    </w:p>
    <w:p w:rsidR="00360485" w:rsidRDefault="00360485" w:rsidP="00DF5F51">
      <w:pPr>
        <w:rPr>
          <w:rFonts w:ascii="Calibri" w:hAnsi="Calibri"/>
          <w:b/>
          <w:noProof/>
          <w:szCs w:val="22"/>
        </w:rPr>
      </w:pPr>
    </w:p>
    <w:p w:rsidR="00360485" w:rsidRDefault="00360485" w:rsidP="00DF5F51">
      <w:pPr>
        <w:rPr>
          <w:rFonts w:ascii="Calibri" w:hAnsi="Calibri"/>
          <w:b/>
          <w:noProof/>
          <w:szCs w:val="22"/>
        </w:rPr>
      </w:pPr>
    </w:p>
    <w:p w:rsidR="00360485" w:rsidRDefault="00360485" w:rsidP="00DF5F51">
      <w:pPr>
        <w:rPr>
          <w:rFonts w:ascii="Calibri" w:hAnsi="Calibri"/>
          <w:b/>
          <w:noProof/>
          <w:szCs w:val="22"/>
        </w:rPr>
      </w:pPr>
    </w:p>
    <w:p w:rsidR="00360485" w:rsidRDefault="00360485" w:rsidP="00DF5F51">
      <w:pPr>
        <w:rPr>
          <w:rFonts w:ascii="Calibri" w:hAnsi="Calibri"/>
          <w:b/>
          <w:noProof/>
          <w:szCs w:val="22"/>
        </w:rPr>
      </w:pPr>
    </w:p>
    <w:p w:rsidR="00360485" w:rsidRDefault="00360485" w:rsidP="00DF5F51">
      <w:pPr>
        <w:rPr>
          <w:rFonts w:ascii="Calibri" w:hAnsi="Calibri"/>
          <w:b/>
          <w:noProof/>
          <w:szCs w:val="22"/>
        </w:rPr>
      </w:pPr>
    </w:p>
    <w:p w:rsidR="00360485" w:rsidRDefault="00360485" w:rsidP="00DF5F51">
      <w:pPr>
        <w:rPr>
          <w:rFonts w:ascii="Calibri" w:hAnsi="Calibri"/>
          <w:b/>
          <w:noProof/>
          <w:szCs w:val="22"/>
        </w:rPr>
      </w:pPr>
    </w:p>
    <w:p w:rsidR="00360485" w:rsidRDefault="00360485" w:rsidP="00DF5F51">
      <w:pPr>
        <w:rPr>
          <w:rFonts w:ascii="Calibri" w:hAnsi="Calibri"/>
          <w:b/>
          <w:noProof/>
          <w:szCs w:val="22"/>
        </w:rPr>
      </w:pPr>
    </w:p>
    <w:p w:rsidR="00360485" w:rsidRDefault="00360485" w:rsidP="00DF5F51">
      <w:pPr>
        <w:rPr>
          <w:rFonts w:ascii="Calibri" w:hAnsi="Calibri"/>
          <w:b/>
          <w:noProof/>
          <w:szCs w:val="22"/>
        </w:rPr>
      </w:pPr>
    </w:p>
    <w:p w:rsidR="00360485" w:rsidRDefault="00360485" w:rsidP="00DF5F51">
      <w:pPr>
        <w:rPr>
          <w:rFonts w:ascii="Calibri" w:hAnsi="Calibri"/>
          <w:b/>
          <w:noProof/>
          <w:szCs w:val="22"/>
        </w:rPr>
      </w:pPr>
    </w:p>
    <w:p w:rsidR="00360485" w:rsidRDefault="00360485" w:rsidP="00DF5F51">
      <w:pPr>
        <w:rPr>
          <w:rFonts w:ascii="Calibri" w:hAnsi="Calibri"/>
          <w:b/>
          <w:noProof/>
          <w:szCs w:val="22"/>
        </w:rPr>
      </w:pPr>
    </w:p>
    <w:p w:rsidR="00360485" w:rsidRDefault="00360485" w:rsidP="00DF5F51">
      <w:pPr>
        <w:rPr>
          <w:rFonts w:ascii="Calibri" w:hAnsi="Calibri"/>
          <w:b/>
          <w:noProof/>
          <w:szCs w:val="22"/>
        </w:rPr>
      </w:pPr>
    </w:p>
    <w:p w:rsidR="00360485" w:rsidRDefault="00360485" w:rsidP="00DF5F51">
      <w:pPr>
        <w:rPr>
          <w:rFonts w:ascii="Calibri" w:hAnsi="Calibri"/>
          <w:b/>
          <w:noProof/>
          <w:szCs w:val="22"/>
        </w:rPr>
      </w:pPr>
    </w:p>
    <w:p w:rsidR="00360485" w:rsidRDefault="00360485" w:rsidP="00360485">
      <w:pPr>
        <w:rPr>
          <w:rFonts w:ascii="Calibri" w:hAnsi="Calibri"/>
          <w:b/>
          <w:noProof/>
          <w:szCs w:val="22"/>
        </w:rPr>
      </w:pPr>
    </w:p>
    <w:p w:rsidR="00360485" w:rsidRDefault="00360485" w:rsidP="00360485">
      <w:pPr>
        <w:rPr>
          <w:rFonts w:ascii="Calibri" w:hAnsi="Calibri"/>
          <w:b/>
          <w:noProof/>
          <w:szCs w:val="22"/>
        </w:rPr>
      </w:pPr>
    </w:p>
    <w:p w:rsidR="00AD47C5" w:rsidRDefault="00AD47C5" w:rsidP="00171E6D">
      <w:pPr>
        <w:jc w:val="center"/>
        <w:rPr>
          <w:rFonts w:ascii="Calibri" w:hAnsi="Calibri"/>
          <w:noProof/>
          <w:sz w:val="20"/>
          <w:szCs w:val="22"/>
        </w:rPr>
      </w:pPr>
    </w:p>
    <w:p w:rsidR="00360485" w:rsidRPr="00360485" w:rsidRDefault="00360485" w:rsidP="00171E6D">
      <w:pPr>
        <w:jc w:val="center"/>
        <w:rPr>
          <w:rFonts w:ascii="Calibri" w:hAnsi="Calibri"/>
          <w:noProof/>
          <w:sz w:val="20"/>
          <w:szCs w:val="22"/>
        </w:rPr>
      </w:pPr>
      <w:r w:rsidRPr="00360485">
        <w:rPr>
          <w:rFonts w:ascii="Calibri" w:hAnsi="Calibri"/>
          <w:noProof/>
          <w:sz w:val="20"/>
          <w:szCs w:val="22"/>
        </w:rPr>
        <w:t xml:space="preserve">Źródło: </w:t>
      </w:r>
      <w:r w:rsidR="00171E6D">
        <w:rPr>
          <w:rFonts w:ascii="Calibri" w:hAnsi="Calibri"/>
          <w:noProof/>
          <w:sz w:val="20"/>
          <w:szCs w:val="22"/>
        </w:rPr>
        <w:t>Stowarzyszenie Emitentów Giełdowych http://www.seg.org.pl</w:t>
      </w:r>
    </w:p>
    <w:p w:rsidR="00360485" w:rsidRDefault="00360485" w:rsidP="00360485">
      <w:pPr>
        <w:rPr>
          <w:rFonts w:ascii="Calibri" w:hAnsi="Calibri"/>
          <w:b/>
          <w:noProof/>
          <w:szCs w:val="22"/>
        </w:rPr>
      </w:pPr>
    </w:p>
    <w:p w:rsidR="00AD47C5" w:rsidRDefault="00AD47C5" w:rsidP="00DF5F51">
      <w:pPr>
        <w:rPr>
          <w:rFonts w:ascii="Calibri" w:hAnsi="Calibri"/>
          <w:b/>
          <w:noProof/>
          <w:szCs w:val="22"/>
        </w:rPr>
      </w:pPr>
    </w:p>
    <w:p w:rsidR="00AD47C5" w:rsidRDefault="00AD47C5" w:rsidP="00DF5F51">
      <w:pPr>
        <w:rPr>
          <w:rFonts w:ascii="Calibri" w:hAnsi="Calibri"/>
          <w:b/>
          <w:noProof/>
          <w:szCs w:val="22"/>
        </w:rPr>
      </w:pPr>
    </w:p>
    <w:p w:rsidR="00AD47C5" w:rsidRDefault="00AD47C5" w:rsidP="00DF5F51">
      <w:pPr>
        <w:rPr>
          <w:rFonts w:ascii="Calibri" w:hAnsi="Calibri"/>
          <w:b/>
          <w:noProof/>
          <w:szCs w:val="22"/>
        </w:rPr>
      </w:pPr>
    </w:p>
    <w:p w:rsidR="00247D11" w:rsidRPr="00AD47C5" w:rsidRDefault="00317B6E" w:rsidP="00AD47C5">
      <w:pPr>
        <w:rPr>
          <w:rFonts w:ascii="Calibri" w:hAnsi="Calibri"/>
          <w:b/>
          <w:noProof/>
          <w:sz w:val="22"/>
          <w:szCs w:val="22"/>
        </w:rPr>
      </w:pPr>
      <w:r w:rsidRPr="00AD47C5">
        <w:rPr>
          <w:rFonts w:ascii="Calibri" w:hAnsi="Calibri"/>
          <w:b/>
          <w:noProof/>
          <w:sz w:val="22"/>
          <w:szCs w:val="22"/>
        </w:rPr>
        <w:lastRenderedPageBreak/>
        <w:t xml:space="preserve">Podsumowanie </w:t>
      </w:r>
    </w:p>
    <w:p w:rsidR="00462236" w:rsidRPr="00AD47C5" w:rsidRDefault="00462236" w:rsidP="00AD47C5">
      <w:pPr>
        <w:pStyle w:val="Text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:rsidR="00462236" w:rsidRPr="00AD47C5" w:rsidRDefault="00462236" w:rsidP="00AD47C5">
      <w:pPr>
        <w:pStyle w:val="Text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AD47C5">
        <w:rPr>
          <w:rFonts w:ascii="Calibri" w:hAnsi="Calibri" w:cs="Calibri"/>
          <w:sz w:val="22"/>
          <w:szCs w:val="22"/>
        </w:rPr>
        <w:t xml:space="preserve">Podczas uroczystej gali Kongresu Relacji Inwestorskich Stowarzyszenia Emitentów Giełdowych w dniu </w:t>
      </w:r>
      <w:r w:rsidRPr="00AD47C5">
        <w:rPr>
          <w:rFonts w:ascii="Calibri" w:hAnsi="Calibri" w:cs="Calibri"/>
          <w:sz w:val="22"/>
          <w:szCs w:val="22"/>
        </w:rPr>
        <w:br/>
        <w:t>9</w:t>
      </w:r>
      <w:r w:rsidRPr="00AD47C5">
        <w:rPr>
          <w:rFonts w:ascii="Calibri" w:hAnsi="Calibri" w:cs="Calibri"/>
          <w:sz w:val="22"/>
          <w:szCs w:val="22"/>
        </w:rPr>
        <w:t xml:space="preserve"> czerwca br., ogłoszono werdykt kapituły plebiscytu i wręczono nagrody zwycięzcom. W gronie laureatów konkursu, z tytułem najlepsza strona relacji inwestorskich spółek notowanych na rynku </w:t>
      </w:r>
      <w:proofErr w:type="spellStart"/>
      <w:r w:rsidRPr="00AD47C5">
        <w:rPr>
          <w:rFonts w:ascii="Calibri" w:hAnsi="Calibri" w:cs="Calibri"/>
          <w:sz w:val="22"/>
          <w:szCs w:val="22"/>
        </w:rPr>
        <w:t>NewConnect</w:t>
      </w:r>
      <w:proofErr w:type="spellEnd"/>
      <w:r w:rsidRPr="00AD47C5">
        <w:rPr>
          <w:rFonts w:ascii="Calibri" w:hAnsi="Calibri" w:cs="Calibri"/>
          <w:sz w:val="22"/>
          <w:szCs w:val="22"/>
        </w:rPr>
        <w:t xml:space="preserve"> znalazła się spółka LUG S.A.</w:t>
      </w:r>
    </w:p>
    <w:p w:rsidR="004656AE" w:rsidRPr="00AD47C5" w:rsidRDefault="004656AE" w:rsidP="00AD47C5">
      <w:pPr>
        <w:rPr>
          <w:rFonts w:ascii="Calibri" w:hAnsi="Calibri"/>
          <w:b/>
          <w:noProof/>
          <w:sz w:val="22"/>
          <w:szCs w:val="22"/>
        </w:rPr>
      </w:pPr>
    </w:p>
    <w:p w:rsidR="00462236" w:rsidRPr="00AD47C5" w:rsidRDefault="00462236" w:rsidP="00AD47C5">
      <w:pPr>
        <w:pStyle w:val="Text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AD47C5">
        <w:rPr>
          <w:rFonts w:ascii="Calibri" w:hAnsi="Calibri" w:cs="Calibri"/>
          <w:sz w:val="22"/>
          <w:szCs w:val="22"/>
        </w:rPr>
        <w:t xml:space="preserve">- </w:t>
      </w:r>
      <w:r w:rsidRPr="00AD47C5">
        <w:rPr>
          <w:rFonts w:ascii="Calibri" w:hAnsi="Calibri" w:cs="Calibri"/>
          <w:i/>
          <w:sz w:val="22"/>
          <w:szCs w:val="22"/>
        </w:rPr>
        <w:t xml:space="preserve">Tegoroczna nagroda </w:t>
      </w:r>
      <w:r w:rsidRPr="00AD47C5">
        <w:rPr>
          <w:rFonts w:ascii="Calibri" w:hAnsi="Calibri" w:cs="Calibri"/>
          <w:i/>
          <w:sz w:val="22"/>
          <w:szCs w:val="22"/>
        </w:rPr>
        <w:t>to już piąte zwycięstwo w konkursie</w:t>
      </w:r>
      <w:r w:rsidRPr="00AD47C5">
        <w:rPr>
          <w:rFonts w:ascii="Calibri" w:hAnsi="Calibri" w:cs="Calibri"/>
          <w:i/>
          <w:sz w:val="22"/>
          <w:szCs w:val="22"/>
        </w:rPr>
        <w:t xml:space="preserve"> Złot</w:t>
      </w:r>
      <w:r w:rsidRPr="00AD47C5">
        <w:rPr>
          <w:rFonts w:ascii="Calibri" w:hAnsi="Calibri" w:cs="Calibri"/>
          <w:i/>
          <w:sz w:val="22"/>
          <w:szCs w:val="22"/>
        </w:rPr>
        <w:t>a</w:t>
      </w:r>
      <w:r w:rsidRPr="00AD47C5">
        <w:rPr>
          <w:rFonts w:ascii="Calibri" w:hAnsi="Calibri" w:cs="Calibri"/>
          <w:i/>
          <w:sz w:val="22"/>
          <w:szCs w:val="22"/>
        </w:rPr>
        <w:t xml:space="preserve"> Stron</w:t>
      </w:r>
      <w:r w:rsidRPr="00AD47C5">
        <w:rPr>
          <w:rFonts w:ascii="Calibri" w:hAnsi="Calibri" w:cs="Calibri"/>
          <w:i/>
          <w:sz w:val="22"/>
          <w:szCs w:val="22"/>
        </w:rPr>
        <w:t xml:space="preserve">a Emitent. </w:t>
      </w:r>
      <w:r w:rsidRPr="00AD47C5">
        <w:rPr>
          <w:rFonts w:ascii="Calibri" w:hAnsi="Calibri" w:cs="Calibri"/>
          <w:i/>
          <w:sz w:val="22"/>
          <w:szCs w:val="22"/>
        </w:rPr>
        <w:t xml:space="preserve"> </w:t>
      </w:r>
      <w:r w:rsidRPr="00AD47C5">
        <w:rPr>
          <w:rFonts w:ascii="Calibri" w:hAnsi="Calibri" w:cs="Calibri"/>
          <w:i/>
          <w:sz w:val="22"/>
          <w:szCs w:val="22"/>
        </w:rPr>
        <w:t xml:space="preserve">Wciąż jednak stanowi dla nas </w:t>
      </w:r>
      <w:r w:rsidRPr="00AD47C5">
        <w:rPr>
          <w:rFonts w:ascii="Calibri" w:hAnsi="Calibri" w:cs="Calibri"/>
          <w:i/>
          <w:sz w:val="22"/>
          <w:szCs w:val="22"/>
        </w:rPr>
        <w:t>źródł</w:t>
      </w:r>
      <w:r w:rsidRPr="00AD47C5">
        <w:rPr>
          <w:rFonts w:ascii="Calibri" w:hAnsi="Calibri" w:cs="Calibri"/>
          <w:i/>
          <w:sz w:val="22"/>
          <w:szCs w:val="22"/>
        </w:rPr>
        <w:t xml:space="preserve">o nieprzerwanej satysfakcji, a także  jest </w:t>
      </w:r>
      <w:r w:rsidRPr="00AD47C5">
        <w:rPr>
          <w:rFonts w:ascii="Calibri" w:hAnsi="Calibri" w:cs="Calibri"/>
          <w:i/>
          <w:sz w:val="22"/>
          <w:szCs w:val="22"/>
        </w:rPr>
        <w:t xml:space="preserve">uhonorowaniem naszych wysiłków w realizacji przejrzystej polityki informacyjnej. Chcemy </w:t>
      </w:r>
      <w:r w:rsidRPr="00AD47C5">
        <w:rPr>
          <w:rFonts w:ascii="Calibri" w:hAnsi="Calibri" w:cs="Calibri"/>
          <w:i/>
          <w:sz w:val="22"/>
          <w:szCs w:val="22"/>
        </w:rPr>
        <w:t xml:space="preserve">wyznaczać standardy komunikacji </w:t>
      </w:r>
      <w:r w:rsidRPr="00AD47C5">
        <w:rPr>
          <w:rFonts w:ascii="Calibri" w:hAnsi="Calibri" w:cs="Calibri"/>
          <w:i/>
          <w:sz w:val="22"/>
          <w:szCs w:val="22"/>
        </w:rPr>
        <w:t>i dostarczać inwestorom informacji, które nie tylko potwierdzą nasz profesjonalizm i wizerunek godnego zaufania Emitenta, ale także pozwolą im poznać i zrozumieć branże oświetleniową</w:t>
      </w:r>
      <w:r w:rsidRPr="00AD47C5">
        <w:rPr>
          <w:rFonts w:ascii="Calibri" w:hAnsi="Calibri" w:cs="Calibri"/>
          <w:sz w:val="22"/>
          <w:szCs w:val="22"/>
        </w:rPr>
        <w:t xml:space="preserve"> – komentuje Ryszard Wtorkowski, Prezes Zarządu Spółki.</w:t>
      </w:r>
    </w:p>
    <w:p w:rsidR="004656AE" w:rsidRPr="00AD47C5" w:rsidRDefault="004656AE" w:rsidP="00AD47C5">
      <w:pPr>
        <w:rPr>
          <w:rFonts w:ascii="Calibri" w:hAnsi="Calibri"/>
          <w:b/>
          <w:noProof/>
          <w:sz w:val="22"/>
          <w:szCs w:val="22"/>
        </w:rPr>
      </w:pPr>
    </w:p>
    <w:p w:rsidR="00462236" w:rsidRPr="00AD47C5" w:rsidRDefault="00462236" w:rsidP="00AD47C5">
      <w:pPr>
        <w:jc w:val="both"/>
        <w:rPr>
          <w:rFonts w:ascii="Calibri" w:hAnsi="Calibri"/>
          <w:noProof/>
          <w:sz w:val="22"/>
          <w:szCs w:val="22"/>
        </w:rPr>
      </w:pPr>
      <w:r w:rsidRPr="00AD47C5">
        <w:rPr>
          <w:rFonts w:ascii="Calibri" w:hAnsi="Calibri"/>
          <w:noProof/>
          <w:sz w:val="22"/>
          <w:szCs w:val="22"/>
        </w:rPr>
        <w:t xml:space="preserve">Tegoroczna, dziewiąta edycja konkursu została przeprowadzona z zachowaniem podobnych zasad i przy wykorzystaniu podobnych kryteriów oceny. Badanie przeprowadzono na całej populacji </w:t>
      </w:r>
      <w:r w:rsidR="00AD47C5" w:rsidRPr="00AD47C5">
        <w:rPr>
          <w:rFonts w:ascii="Calibri" w:hAnsi="Calibri"/>
          <w:noProof/>
          <w:sz w:val="22"/>
          <w:szCs w:val="22"/>
        </w:rPr>
        <w:t xml:space="preserve">ponad 900 </w:t>
      </w:r>
      <w:r w:rsidRPr="00AD47C5">
        <w:rPr>
          <w:rFonts w:ascii="Calibri" w:hAnsi="Calibri"/>
          <w:noProof/>
          <w:sz w:val="22"/>
          <w:szCs w:val="22"/>
        </w:rPr>
        <w:t xml:space="preserve">notowanych spółek </w:t>
      </w:r>
      <w:r w:rsidR="00AD47C5" w:rsidRPr="00AD47C5">
        <w:rPr>
          <w:rFonts w:ascii="Calibri" w:hAnsi="Calibri"/>
          <w:noProof/>
          <w:sz w:val="22"/>
          <w:szCs w:val="22"/>
        </w:rPr>
        <w:t xml:space="preserve">(GPW i NewConnect) </w:t>
      </w:r>
      <w:r w:rsidRPr="00AD47C5">
        <w:rPr>
          <w:rFonts w:ascii="Calibri" w:hAnsi="Calibri"/>
          <w:noProof/>
          <w:sz w:val="22"/>
          <w:szCs w:val="22"/>
        </w:rPr>
        <w:t>w podziale na 5 kategorii</w:t>
      </w:r>
      <w:r w:rsidR="00AD47C5" w:rsidRPr="00AD47C5">
        <w:rPr>
          <w:rFonts w:ascii="Calibri" w:hAnsi="Calibri"/>
          <w:noProof/>
          <w:sz w:val="22"/>
          <w:szCs w:val="22"/>
        </w:rPr>
        <w:t>.</w:t>
      </w:r>
    </w:p>
    <w:p w:rsidR="00AD47C5" w:rsidRPr="00AD47C5" w:rsidRDefault="00AD47C5" w:rsidP="00AD47C5">
      <w:pPr>
        <w:jc w:val="both"/>
        <w:rPr>
          <w:rFonts w:ascii="Calibri" w:hAnsi="Calibri"/>
          <w:noProof/>
          <w:sz w:val="22"/>
          <w:szCs w:val="22"/>
        </w:rPr>
      </w:pPr>
    </w:p>
    <w:p w:rsidR="00AD47C5" w:rsidRPr="00AD47C5" w:rsidRDefault="00AD47C5" w:rsidP="00AD47C5">
      <w:pPr>
        <w:jc w:val="both"/>
        <w:rPr>
          <w:rFonts w:ascii="Calibri" w:hAnsi="Calibri"/>
          <w:sz w:val="22"/>
          <w:szCs w:val="22"/>
        </w:rPr>
      </w:pPr>
      <w:r w:rsidRPr="00AD47C5">
        <w:rPr>
          <w:rFonts w:ascii="Calibri" w:hAnsi="Calibri"/>
          <w:sz w:val="22"/>
          <w:szCs w:val="22"/>
        </w:rPr>
        <w:t xml:space="preserve">- </w:t>
      </w:r>
      <w:r w:rsidRPr="00AD47C5">
        <w:rPr>
          <w:rFonts w:ascii="Calibri" w:hAnsi="Calibri"/>
          <w:i/>
          <w:sz w:val="22"/>
          <w:szCs w:val="22"/>
        </w:rPr>
        <w:t>Słuchamy naszych inwestorów i staramy się wdrażać rozwiązania, które ułatwiają im podejmowanie decyzji inwestycyjnych. Kolejne wyróżnienie mobilizuje nas to wytężonej pracy nad nową wersją serwisu, którą już wkrótce udostępnimy na naszych stronach</w:t>
      </w:r>
      <w:r w:rsidRPr="00AD47C5">
        <w:rPr>
          <w:rFonts w:ascii="Calibri" w:hAnsi="Calibri"/>
          <w:sz w:val="22"/>
          <w:szCs w:val="22"/>
        </w:rPr>
        <w:t xml:space="preserve"> – wyjaśnia Monika Bartoszak, Kierownik ds. relacji inwestorskich LUG S.A.</w:t>
      </w:r>
    </w:p>
    <w:p w:rsidR="00AD47C5" w:rsidRPr="00AD47C5" w:rsidRDefault="00AD47C5" w:rsidP="00AD47C5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AD47C5" w:rsidRPr="00AD47C5" w:rsidRDefault="00AD47C5" w:rsidP="00AD47C5">
      <w:pPr>
        <w:jc w:val="both"/>
        <w:rPr>
          <w:rFonts w:ascii="Calibri" w:hAnsi="Calibri"/>
          <w:sz w:val="22"/>
          <w:szCs w:val="22"/>
        </w:rPr>
      </w:pPr>
      <w:r w:rsidRPr="00AD47C5">
        <w:rPr>
          <w:rFonts w:ascii="Calibri" w:hAnsi="Calibri"/>
          <w:sz w:val="22"/>
          <w:szCs w:val="22"/>
        </w:rPr>
        <w:t>Serwis Relacji Inwestorskich spółki LUG S.A. jest dostępny pod adresem:</w:t>
      </w:r>
    </w:p>
    <w:p w:rsidR="00AD47C5" w:rsidRDefault="00AD47C5" w:rsidP="00AD47C5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1496060</wp:posOffset>
                </wp:positionH>
                <wp:positionV relativeFrom="paragraph">
                  <wp:posOffset>27940</wp:posOffset>
                </wp:positionV>
                <wp:extent cx="2981325" cy="53340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6" style="position:absolute;margin-left:117.8pt;margin-top:2.2pt;width:234.7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FqmwIAAIYFAAAOAAAAZHJzL2Uyb0RvYy54bWysVMFu2zAMvQ/YPwi6r3bSZGuDOkWQosOA&#10;ogvWDj0rshQbk0VNUuJk9/3ZPmyk7LhBV+wwLAdHFMlH8onk1fW+MWynfKjBFnx0lnOmrISytpuC&#10;f328fXfBWYjClsKAVQU/qMCv52/fXLVupsZQgSmVZwhiw6x1Ba9idLMsC7JSjQhn4JRFpQbfiIii&#10;32SlFy2iNyYb5/n7rAVfOg9ShYC3N52SzxO+1krGz1oHFZkpOOYW09en75q+2fxKzDZeuKqWfRri&#10;H7JoRG0x6AB1I6JgW1//AdXU0kMAHc8kNBloXUuVasBqRvmLah4q4VSqBckJbqAp/D9Yeb9beVaX&#10;BZ9wZkWDT7TCBCN8+/Uzsgnx07owQ7MHt/K9FPBIxe61b+gfy2D7xOlh4FTtI5N4Ob68GJ2Pp5xJ&#10;1E3Pzyd5Ij179nY+xI8KGkaHgnt8s0Sl2N2FiBHR9GhCwSzc1sakdzOWLgKYuqS7JPjNemk82wl8&#10;8GVOP6oBMU7MUCLXjCrrakmneDCKMIz9ojRyQtmnTFI3qgFWSKlsHHWqSpSqizY9DUb9Sx4pdAIk&#10;ZI1ZDtg9wNGyAzlidzn39uSqUjMPzvnfEuucB48UGWwcnJvagn8NwGBVfeTO/khSRw2xtIbygB3j&#10;oRul4ORtje92J0JcCY+zg1OG+yB+xo820BYc+hNnFfgfr92TPbY0ajlrcRYLHr5vhVecmU8Wm/1y&#10;NJnQ8CZhMv0wRsGfatanGrttloCvP8LN42Q6kn00x6P20Dzh2lhQVFQJKzF2wWX0R2EZux2Bi0eq&#10;xSKZ4cA6Ee/sg5METqxSXz7un4R3ffNGbPt7OM6tmL3o4c6WPC0sthF0nRr8mdeebxz21Dj9YqJt&#10;cionq+f1Of8NAAD//wMAUEsDBBQABgAIAAAAIQCvDpfK3QAAAAgBAAAPAAAAZHJzL2Rvd25yZXYu&#10;eG1sTI/BTsMwEETvSPyDtUjcqNOStFYap0IgBFcaenfsbRIlXofYbQNfjzmV42hGM2+K3WwHdsbJ&#10;d44kLBcJMCTtTEeNhM/q9UEA80GRUYMjlPCNHnbl7U2hcuMu9IHnfWhYLCGfKwltCGPOudctWuUX&#10;bkSK3tFNVoUop4abSV1iuR34KknW3KqO4kKrRnxuUff7k5XwVunsoKvNy+Hd9F+9/hH1mAkp7+/m&#10;py2wgHO4huEPP6JDGZlqdyLj2SBh9ZitY1RCmgKL/ibJlsBqCUKkwMuC/z9Q/gIAAP//AwBQSwEC&#10;LQAUAAYACAAAACEAtoM4kv4AAADhAQAAEwAAAAAAAAAAAAAAAAAAAAAAW0NvbnRlbnRfVHlwZXNd&#10;LnhtbFBLAQItABQABgAIAAAAIQA4/SH/1gAAAJQBAAALAAAAAAAAAAAAAAAAAC8BAABfcmVscy8u&#10;cmVsc1BLAQItABQABgAIAAAAIQALtRFqmwIAAIYFAAAOAAAAAAAAAAAAAAAAAC4CAABkcnMvZTJv&#10;RG9jLnhtbFBLAQItABQABgAIAAAAIQCvDpfK3QAAAAgBAAAPAAAAAAAAAAAAAAAAAPUEAABkcnMv&#10;ZG93bnJldi54bWxQSwUGAAAAAAQABADzAAAA/wUAAAAA&#10;" filled="f" strokecolor="#c00000" strokeweight="2pt"/>
            </w:pict>
          </mc:Fallback>
        </mc:AlternateContent>
      </w:r>
    </w:p>
    <w:p w:rsidR="00AD47C5" w:rsidRPr="00381D73" w:rsidRDefault="00AD47C5" w:rsidP="00AD47C5">
      <w:pPr>
        <w:spacing w:line="276" w:lineRule="auto"/>
        <w:jc w:val="center"/>
        <w:rPr>
          <w:rFonts w:ascii="Calibri" w:hAnsi="Calibri"/>
          <w:sz w:val="22"/>
          <w:szCs w:val="22"/>
        </w:rPr>
      </w:pPr>
      <w:hyperlink r:id="rId10" w:history="1">
        <w:r w:rsidRPr="00AD47C5">
          <w:rPr>
            <w:rStyle w:val="Hipercze"/>
            <w:rFonts w:ascii="Calibri" w:hAnsi="Calibri"/>
            <w:sz w:val="22"/>
            <w:szCs w:val="22"/>
          </w:rPr>
          <w:t>http://www.lug.com.pl/relacje-inwestorskie</w:t>
        </w:r>
      </w:hyperlink>
    </w:p>
    <w:p w:rsidR="00AD47C5" w:rsidRPr="00462236" w:rsidRDefault="00AD47C5" w:rsidP="00462236">
      <w:pPr>
        <w:jc w:val="both"/>
        <w:rPr>
          <w:rFonts w:ascii="Calibri" w:hAnsi="Calibri"/>
          <w:noProof/>
          <w:szCs w:val="22"/>
        </w:rPr>
      </w:pPr>
    </w:p>
    <w:p w:rsidR="003F6863" w:rsidRDefault="003F6863" w:rsidP="00171E6D">
      <w:pPr>
        <w:pStyle w:val="Text"/>
        <w:spacing w:after="0" w:line="360" w:lineRule="auto"/>
        <w:jc w:val="center"/>
        <w:rPr>
          <w:rFonts w:ascii="Calibri" w:hAnsi="Calibri" w:cs="Tahoma"/>
          <w:b/>
          <w:bCs/>
          <w:sz w:val="20"/>
          <w:szCs w:val="20"/>
        </w:rPr>
      </w:pPr>
    </w:p>
    <w:p w:rsidR="00171E6D" w:rsidRPr="00171E6D" w:rsidRDefault="00171E6D" w:rsidP="00171E6D">
      <w:pPr>
        <w:pStyle w:val="Text"/>
        <w:spacing w:after="0" w:line="360" w:lineRule="auto"/>
        <w:jc w:val="center"/>
        <w:rPr>
          <w:rFonts w:ascii="Calibri" w:hAnsi="Calibri" w:cs="Tahoma"/>
          <w:b/>
          <w:bCs/>
          <w:sz w:val="20"/>
          <w:szCs w:val="20"/>
        </w:rPr>
      </w:pPr>
      <w:r w:rsidRPr="008748E2">
        <w:rPr>
          <w:rFonts w:ascii="Calibri" w:hAnsi="Calibri" w:cs="Tahoma"/>
          <w:b/>
          <w:bCs/>
          <w:sz w:val="20"/>
          <w:szCs w:val="20"/>
        </w:rPr>
        <w:t>* * *</w:t>
      </w:r>
    </w:p>
    <w:p w:rsidR="00247D11" w:rsidRPr="00AD47C5" w:rsidRDefault="00247D11" w:rsidP="00AD47C5">
      <w:pPr>
        <w:pStyle w:val="Text"/>
        <w:spacing w:after="0" w:line="240" w:lineRule="auto"/>
        <w:jc w:val="both"/>
        <w:rPr>
          <w:rFonts w:asciiTheme="minorHAnsi" w:hAnsiTheme="minorHAnsi" w:cs="Tahoma"/>
          <w:bCs/>
          <w:sz w:val="20"/>
          <w:szCs w:val="20"/>
        </w:rPr>
      </w:pPr>
      <w:r w:rsidRPr="00AD47C5">
        <w:rPr>
          <w:rFonts w:asciiTheme="minorHAnsi" w:hAnsiTheme="minorHAnsi" w:cs="Tahoma"/>
          <w:b/>
          <w:bCs/>
          <w:sz w:val="20"/>
          <w:szCs w:val="20"/>
        </w:rPr>
        <w:t xml:space="preserve">LUG S.A. </w:t>
      </w:r>
      <w:r w:rsidRPr="00AD47C5">
        <w:rPr>
          <w:rFonts w:asciiTheme="minorHAnsi" w:hAnsiTheme="minorHAnsi" w:cs="Tahoma"/>
          <w:bCs/>
          <w:sz w:val="20"/>
          <w:szCs w:val="20"/>
        </w:rPr>
        <w:t xml:space="preserve">to spółka holdingowa Grupy Kapitałowej LUG S.A. – jednego z czołowych europejskich producentów profesjonalnych rozwiązań oświetleniowych. Grupa sprzedaje swoje produkty w Polsce oraz w kilkudziesięciu krajach na całym świecie. Posiadająca 26 lat doświadczenia firma z siedzibą w Zielonej Górze, od 2008 roku funkcjonuje jako Grupa Kapitałowa. W jej skład wchodzą: LUG S.A., LUG Light Factory Sp. z o.o., LUG GmbH, LUG do </w:t>
      </w:r>
      <w:proofErr w:type="spellStart"/>
      <w:r w:rsidRPr="00AD47C5">
        <w:rPr>
          <w:rFonts w:asciiTheme="minorHAnsi" w:hAnsiTheme="minorHAnsi" w:cs="Tahoma"/>
          <w:bCs/>
          <w:sz w:val="20"/>
          <w:szCs w:val="20"/>
        </w:rPr>
        <w:t>Brazil</w:t>
      </w:r>
      <w:proofErr w:type="spellEnd"/>
      <w:r w:rsidRPr="00AD47C5">
        <w:rPr>
          <w:rFonts w:asciiTheme="minorHAnsi" w:hAnsiTheme="minorHAnsi" w:cs="Tahoma"/>
          <w:bCs/>
          <w:sz w:val="20"/>
          <w:szCs w:val="20"/>
        </w:rPr>
        <w:t xml:space="preserve"> </w:t>
      </w:r>
      <w:proofErr w:type="spellStart"/>
      <w:r w:rsidRPr="00AD47C5">
        <w:rPr>
          <w:rFonts w:asciiTheme="minorHAnsi" w:hAnsiTheme="minorHAnsi" w:cs="Tahoma"/>
          <w:bCs/>
          <w:sz w:val="20"/>
          <w:szCs w:val="20"/>
        </w:rPr>
        <w:t>Ltda</w:t>
      </w:r>
      <w:proofErr w:type="spellEnd"/>
      <w:r w:rsidRPr="00AD47C5">
        <w:rPr>
          <w:rFonts w:asciiTheme="minorHAnsi" w:hAnsiTheme="minorHAnsi" w:cs="Tahoma"/>
          <w:bCs/>
          <w:sz w:val="20"/>
          <w:szCs w:val="20"/>
        </w:rPr>
        <w:t xml:space="preserve">, LUG </w:t>
      </w:r>
      <w:proofErr w:type="spellStart"/>
      <w:r w:rsidRPr="00AD47C5">
        <w:rPr>
          <w:rFonts w:asciiTheme="minorHAnsi" w:hAnsiTheme="minorHAnsi" w:cs="Tahoma"/>
          <w:bCs/>
          <w:sz w:val="20"/>
          <w:szCs w:val="20"/>
        </w:rPr>
        <w:t>Lighting</w:t>
      </w:r>
      <w:proofErr w:type="spellEnd"/>
      <w:r w:rsidRPr="00AD47C5">
        <w:rPr>
          <w:rFonts w:asciiTheme="minorHAnsi" w:hAnsiTheme="minorHAnsi" w:cs="Tahoma"/>
          <w:bCs/>
          <w:sz w:val="20"/>
          <w:szCs w:val="20"/>
        </w:rPr>
        <w:t xml:space="preserve"> UK Ltd.  oraz TOW LUG Ukraina. LUG S.A. od listopada 2007 roku jest notowana na rynku </w:t>
      </w:r>
      <w:proofErr w:type="spellStart"/>
      <w:r w:rsidRPr="00AD47C5">
        <w:rPr>
          <w:rFonts w:asciiTheme="minorHAnsi" w:hAnsiTheme="minorHAnsi" w:cs="Tahoma"/>
          <w:bCs/>
          <w:sz w:val="20"/>
          <w:szCs w:val="20"/>
        </w:rPr>
        <w:t>NewConnect</w:t>
      </w:r>
      <w:proofErr w:type="spellEnd"/>
      <w:r w:rsidRPr="00AD47C5">
        <w:rPr>
          <w:rFonts w:asciiTheme="minorHAnsi" w:hAnsiTheme="minorHAnsi" w:cs="Tahoma"/>
          <w:bCs/>
          <w:sz w:val="20"/>
          <w:szCs w:val="20"/>
        </w:rPr>
        <w:t xml:space="preserve"> zarządzanym przez warszawską GPW. Więcej informacji: </w:t>
      </w:r>
      <w:hyperlink r:id="rId11" w:history="1">
        <w:r w:rsidRPr="00AD47C5">
          <w:rPr>
            <w:rStyle w:val="Hipercze"/>
            <w:rFonts w:asciiTheme="minorHAnsi" w:hAnsiTheme="minorHAnsi" w:cs="Tahoma"/>
            <w:bCs/>
            <w:sz w:val="20"/>
            <w:szCs w:val="20"/>
          </w:rPr>
          <w:t>www.lug.com.pl</w:t>
        </w:r>
      </w:hyperlink>
    </w:p>
    <w:p w:rsidR="00171E6D" w:rsidRPr="00AD47C5" w:rsidRDefault="00171E6D" w:rsidP="00AD47C5">
      <w:pPr>
        <w:pStyle w:val="Text"/>
        <w:spacing w:after="0" w:line="240" w:lineRule="auto"/>
        <w:jc w:val="both"/>
        <w:rPr>
          <w:rStyle w:val="Pogrubienie"/>
          <w:rFonts w:asciiTheme="minorHAnsi" w:hAnsiTheme="minorHAnsi"/>
          <w:sz w:val="20"/>
          <w:szCs w:val="20"/>
        </w:rPr>
      </w:pPr>
    </w:p>
    <w:p w:rsidR="00171E6D" w:rsidRPr="00AD47C5" w:rsidRDefault="00171E6D" w:rsidP="00AD47C5">
      <w:pPr>
        <w:pStyle w:val="Text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AD47C5">
        <w:rPr>
          <w:rStyle w:val="Pogrubienie"/>
          <w:rFonts w:asciiTheme="minorHAnsi" w:hAnsiTheme="minorHAnsi"/>
          <w:sz w:val="20"/>
          <w:szCs w:val="20"/>
        </w:rPr>
        <w:t>ZŁOTA STRONA EMITENTA</w:t>
      </w:r>
      <w:r w:rsidRPr="00AD47C5">
        <w:rPr>
          <w:rFonts w:asciiTheme="minorHAnsi" w:hAnsiTheme="minorHAnsi"/>
          <w:sz w:val="20"/>
          <w:szCs w:val="20"/>
        </w:rPr>
        <w:t xml:space="preserve"> jest </w:t>
      </w:r>
      <w:r w:rsidRPr="00AD47C5">
        <w:rPr>
          <w:rFonts w:asciiTheme="minorHAnsi" w:hAnsiTheme="minorHAnsi"/>
          <w:sz w:val="20"/>
          <w:szCs w:val="20"/>
        </w:rPr>
        <w:t>dziewiątą</w:t>
      </w:r>
      <w:r w:rsidRPr="00AD47C5">
        <w:rPr>
          <w:rFonts w:asciiTheme="minorHAnsi" w:hAnsiTheme="minorHAnsi"/>
          <w:sz w:val="20"/>
          <w:szCs w:val="20"/>
        </w:rPr>
        <w:t xml:space="preserve"> edycją Konkursu organizowanego przez </w:t>
      </w:r>
      <w:r w:rsidRPr="00AD47C5">
        <w:rPr>
          <w:rStyle w:val="Pogrubienie"/>
          <w:rFonts w:asciiTheme="minorHAnsi" w:hAnsiTheme="minorHAnsi"/>
          <w:sz w:val="20"/>
          <w:szCs w:val="20"/>
        </w:rPr>
        <w:t>Stowarzyszenie Emitentów Giełdowych</w:t>
      </w:r>
      <w:r w:rsidRPr="00AD47C5">
        <w:rPr>
          <w:rFonts w:asciiTheme="minorHAnsi" w:hAnsiTheme="minorHAnsi"/>
          <w:sz w:val="20"/>
          <w:szCs w:val="20"/>
        </w:rPr>
        <w:t xml:space="preserve">, którego celem jest wyłonienie najlepszej strony internetowej spółki giełdowej. </w:t>
      </w:r>
      <w:hyperlink r:id="rId12" w:history="1">
        <w:r w:rsidRPr="00AD47C5">
          <w:rPr>
            <w:rStyle w:val="Hipercze"/>
            <w:rFonts w:asciiTheme="minorHAnsi" w:hAnsiTheme="minorHAnsi"/>
            <w:sz w:val="20"/>
            <w:szCs w:val="20"/>
          </w:rPr>
          <w:t>http://www.zse.seg.org.pl/</w:t>
        </w:r>
      </w:hyperlink>
    </w:p>
    <w:p w:rsidR="00171E6D" w:rsidRPr="00AD47C5" w:rsidRDefault="00171E6D" w:rsidP="00AD47C5">
      <w:pPr>
        <w:pStyle w:val="Text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171E6D" w:rsidRPr="00AD47C5" w:rsidRDefault="00171E6D" w:rsidP="00AD47C5">
      <w:pPr>
        <w:pStyle w:val="Text"/>
        <w:spacing w:after="0" w:line="240" w:lineRule="auto"/>
        <w:jc w:val="both"/>
        <w:rPr>
          <w:rStyle w:val="Pogrubienie"/>
          <w:rFonts w:asciiTheme="minorHAnsi" w:hAnsiTheme="minorHAnsi"/>
          <w:b w:val="0"/>
          <w:sz w:val="20"/>
          <w:szCs w:val="20"/>
        </w:rPr>
      </w:pPr>
      <w:r w:rsidRPr="00AD47C5">
        <w:rPr>
          <w:rFonts w:asciiTheme="minorHAnsi" w:hAnsiTheme="minorHAnsi" w:cs="Tahoma"/>
          <w:b/>
          <w:bCs/>
          <w:sz w:val="20"/>
          <w:szCs w:val="20"/>
        </w:rPr>
        <w:t xml:space="preserve">Stowarzyszenie Emitentów Giełdowych (SEG) </w:t>
      </w:r>
      <w:r w:rsidRPr="00AD47C5">
        <w:rPr>
          <w:rFonts w:asciiTheme="minorHAnsi" w:hAnsiTheme="minorHAnsi" w:cs="Tahoma"/>
          <w:bCs/>
          <w:sz w:val="20"/>
          <w:szCs w:val="20"/>
        </w:rPr>
        <w:t xml:space="preserve">to istniejąca od 1993 roku, dobrowolna organizacja zrzeszająca Emitentów giełdowych. </w:t>
      </w:r>
      <w:r w:rsidRPr="00AD47C5">
        <w:rPr>
          <w:rStyle w:val="Pogrubienie"/>
          <w:rFonts w:asciiTheme="minorHAnsi" w:hAnsiTheme="minorHAnsi"/>
          <w:b w:val="0"/>
          <w:sz w:val="20"/>
          <w:szCs w:val="20"/>
        </w:rPr>
        <w:t xml:space="preserve">Obecnie SEG skupia 265 spółek notowanych na warszawskiej Giełdzie Papierów Wartościowych oraz alternatywnym rynku </w:t>
      </w:r>
      <w:proofErr w:type="spellStart"/>
      <w:r w:rsidRPr="00AD47C5">
        <w:rPr>
          <w:rStyle w:val="Pogrubienie"/>
          <w:rFonts w:asciiTheme="minorHAnsi" w:hAnsiTheme="minorHAnsi"/>
          <w:b w:val="0"/>
          <w:sz w:val="20"/>
          <w:szCs w:val="20"/>
        </w:rPr>
        <w:t>NewConnect</w:t>
      </w:r>
      <w:proofErr w:type="spellEnd"/>
      <w:r w:rsidRPr="00AD47C5">
        <w:rPr>
          <w:rStyle w:val="Pogrubienie"/>
          <w:rFonts w:asciiTheme="minorHAnsi" w:hAnsiTheme="minorHAnsi"/>
          <w:b w:val="0"/>
          <w:sz w:val="20"/>
          <w:szCs w:val="20"/>
        </w:rPr>
        <w:t xml:space="preserve">, reprezentujących blisko 85 proc. kapitalizacji emitentów krajowych. Pracami SEG kieruje prezes Mirosław Kachniewski. </w:t>
      </w:r>
      <w:hyperlink r:id="rId13" w:history="1">
        <w:r w:rsidRPr="00AD47C5">
          <w:rPr>
            <w:rStyle w:val="Hipercze"/>
            <w:rFonts w:asciiTheme="minorHAnsi" w:hAnsiTheme="minorHAnsi"/>
            <w:sz w:val="20"/>
            <w:szCs w:val="20"/>
          </w:rPr>
          <w:t>www.seg.org.pl</w:t>
        </w:r>
      </w:hyperlink>
    </w:p>
    <w:p w:rsidR="00247D11" w:rsidRPr="00AD47C5" w:rsidRDefault="00317B6E" w:rsidP="00AD47C5">
      <w:pPr>
        <w:rPr>
          <w:rFonts w:asciiTheme="minorHAnsi" w:hAnsiTheme="minorHAnsi"/>
          <w:b/>
          <w:sz w:val="20"/>
          <w:szCs w:val="20"/>
        </w:rPr>
      </w:pPr>
      <w:r w:rsidRPr="00AD47C5">
        <w:rPr>
          <w:rFonts w:asciiTheme="minorHAnsi" w:hAnsiTheme="minorHAnsi"/>
          <w:b/>
          <w:sz w:val="20"/>
          <w:szCs w:val="20"/>
        </w:rPr>
        <w:t>Kontakt:</w:t>
      </w:r>
    </w:p>
    <w:p w:rsidR="00317B6E" w:rsidRPr="00AD47C5" w:rsidRDefault="00317B6E" w:rsidP="00AD47C5">
      <w:pPr>
        <w:rPr>
          <w:rFonts w:asciiTheme="minorHAnsi" w:hAnsiTheme="minorHAnsi"/>
          <w:sz w:val="20"/>
          <w:szCs w:val="20"/>
        </w:rPr>
      </w:pPr>
    </w:p>
    <w:p w:rsidR="00317B6E" w:rsidRPr="00AD47C5" w:rsidRDefault="00317B6E" w:rsidP="00AD47C5">
      <w:pPr>
        <w:rPr>
          <w:rFonts w:asciiTheme="minorHAnsi" w:hAnsiTheme="minorHAnsi"/>
          <w:b/>
          <w:sz w:val="20"/>
          <w:szCs w:val="20"/>
        </w:rPr>
      </w:pPr>
      <w:r w:rsidRPr="00AD47C5">
        <w:rPr>
          <w:rFonts w:asciiTheme="minorHAnsi" w:hAnsiTheme="minorHAnsi"/>
          <w:b/>
          <w:sz w:val="20"/>
          <w:szCs w:val="20"/>
        </w:rPr>
        <w:lastRenderedPageBreak/>
        <w:t>Monika Bartoszak</w:t>
      </w:r>
    </w:p>
    <w:p w:rsidR="00317B6E" w:rsidRPr="00AD47C5" w:rsidRDefault="00317B6E" w:rsidP="00AD47C5">
      <w:pPr>
        <w:rPr>
          <w:rFonts w:asciiTheme="minorHAnsi" w:hAnsiTheme="minorHAnsi"/>
          <w:sz w:val="20"/>
          <w:szCs w:val="20"/>
        </w:rPr>
      </w:pPr>
      <w:r w:rsidRPr="00AD47C5">
        <w:rPr>
          <w:rFonts w:asciiTheme="minorHAnsi" w:hAnsiTheme="minorHAnsi"/>
          <w:sz w:val="20"/>
          <w:szCs w:val="20"/>
        </w:rPr>
        <w:t>+48 510 183 993</w:t>
      </w:r>
    </w:p>
    <w:p w:rsidR="00317B6E" w:rsidRPr="00AD47C5" w:rsidRDefault="00111DFD" w:rsidP="00AD47C5">
      <w:pPr>
        <w:rPr>
          <w:rFonts w:asciiTheme="minorHAnsi" w:hAnsiTheme="minorHAnsi"/>
          <w:sz w:val="20"/>
          <w:szCs w:val="20"/>
        </w:rPr>
      </w:pPr>
      <w:hyperlink r:id="rId14" w:history="1">
        <w:r w:rsidR="00317B6E" w:rsidRPr="00AD47C5">
          <w:rPr>
            <w:rStyle w:val="Hipercze"/>
            <w:rFonts w:asciiTheme="minorHAnsi" w:hAnsiTheme="minorHAnsi"/>
            <w:sz w:val="20"/>
            <w:szCs w:val="20"/>
          </w:rPr>
          <w:t>monika.bartoszak@lug.com.pl</w:t>
        </w:r>
      </w:hyperlink>
    </w:p>
    <w:p w:rsidR="00317B6E" w:rsidRPr="00AD47C5" w:rsidRDefault="00111DFD" w:rsidP="00AD47C5">
      <w:pPr>
        <w:rPr>
          <w:rFonts w:asciiTheme="minorHAnsi" w:hAnsiTheme="minorHAnsi"/>
          <w:sz w:val="20"/>
          <w:szCs w:val="20"/>
        </w:rPr>
      </w:pPr>
      <w:hyperlink r:id="rId15" w:history="1">
        <w:r w:rsidR="00317B6E" w:rsidRPr="00AD47C5">
          <w:rPr>
            <w:rStyle w:val="Hipercze"/>
            <w:rFonts w:asciiTheme="minorHAnsi" w:hAnsiTheme="minorHAnsi"/>
            <w:sz w:val="20"/>
            <w:szCs w:val="20"/>
          </w:rPr>
          <w:t>relacje@lug.com.pl</w:t>
        </w:r>
      </w:hyperlink>
    </w:p>
    <w:p w:rsidR="00317B6E" w:rsidRPr="00317B6E" w:rsidRDefault="00317B6E" w:rsidP="00DF5F51">
      <w:pPr>
        <w:rPr>
          <w:rFonts w:ascii="Calibri" w:hAnsi="Calibri"/>
          <w:szCs w:val="22"/>
        </w:rPr>
      </w:pPr>
    </w:p>
    <w:p w:rsidR="00317B6E" w:rsidRDefault="00317B6E" w:rsidP="0021240B">
      <w:pPr>
        <w:jc w:val="both"/>
        <w:rPr>
          <w:rFonts w:asciiTheme="minorHAnsi" w:hAnsiTheme="minorHAnsi"/>
          <w:b/>
          <w:szCs w:val="22"/>
        </w:rPr>
      </w:pPr>
    </w:p>
    <w:p w:rsidR="00B20D15" w:rsidRPr="00262876" w:rsidRDefault="00B20D15" w:rsidP="0021240B">
      <w:pPr>
        <w:jc w:val="both"/>
        <w:rPr>
          <w:rFonts w:asciiTheme="minorHAnsi" w:hAnsiTheme="minorHAnsi"/>
          <w:sz w:val="20"/>
          <w:szCs w:val="22"/>
        </w:rPr>
      </w:pPr>
    </w:p>
    <w:p w:rsidR="000F0201" w:rsidRDefault="000F0201" w:rsidP="0021240B">
      <w:pPr>
        <w:jc w:val="both"/>
        <w:rPr>
          <w:rFonts w:ascii="Calibri" w:hAnsi="Calibri"/>
          <w:sz w:val="22"/>
          <w:szCs w:val="22"/>
        </w:rPr>
      </w:pPr>
    </w:p>
    <w:p w:rsidR="00360485" w:rsidRPr="00D8458F" w:rsidRDefault="00360485" w:rsidP="00360485">
      <w:pPr>
        <w:pStyle w:val="Text"/>
        <w:spacing w:after="0" w:line="276" w:lineRule="auto"/>
        <w:jc w:val="both"/>
        <w:rPr>
          <w:rFonts w:ascii="Calibri" w:hAnsi="Calibri" w:cs="Calibri"/>
          <w:sz w:val="16"/>
        </w:rPr>
      </w:pPr>
    </w:p>
    <w:p w:rsidR="00360485" w:rsidRPr="00D8458F" w:rsidRDefault="00360485" w:rsidP="00360485">
      <w:pPr>
        <w:pStyle w:val="Text"/>
        <w:spacing w:after="0" w:line="276" w:lineRule="auto"/>
        <w:jc w:val="both"/>
        <w:rPr>
          <w:rFonts w:ascii="Calibri" w:hAnsi="Calibri" w:cs="Calibri"/>
          <w:sz w:val="16"/>
        </w:rPr>
      </w:pPr>
    </w:p>
    <w:p w:rsidR="00360485" w:rsidRPr="00D8458F" w:rsidRDefault="00360485" w:rsidP="00360485">
      <w:pPr>
        <w:pStyle w:val="Text"/>
        <w:spacing w:after="0" w:line="276" w:lineRule="auto"/>
        <w:jc w:val="both"/>
        <w:rPr>
          <w:sz w:val="16"/>
        </w:rPr>
      </w:pPr>
    </w:p>
    <w:p w:rsidR="00803F08" w:rsidRPr="003B030B" w:rsidRDefault="00803F08" w:rsidP="00DF5F51">
      <w:pPr>
        <w:rPr>
          <w:rFonts w:ascii="Calibri" w:hAnsi="Calibri"/>
          <w:sz w:val="28"/>
          <w:szCs w:val="22"/>
        </w:rPr>
      </w:pPr>
    </w:p>
    <w:sectPr w:rsidR="00803F08" w:rsidRPr="003B030B" w:rsidSect="0012404D">
      <w:headerReference w:type="default" r:id="rId16"/>
      <w:footerReference w:type="default" r:id="rId17"/>
      <w:pgSz w:w="11906" w:h="16838" w:code="9"/>
      <w:pgMar w:top="1418" w:right="1304" w:bottom="1418" w:left="1304" w:header="107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DFD" w:rsidRDefault="00111DFD">
      <w:r>
        <w:separator/>
      </w:r>
    </w:p>
  </w:endnote>
  <w:endnote w:type="continuationSeparator" w:id="0">
    <w:p w:rsidR="00111DFD" w:rsidRDefault="0011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l">
    <w:altName w:val="Courier New"/>
    <w:charset w:val="EE"/>
    <w:family w:val="auto"/>
    <w:pitch w:val="variable"/>
    <w:sig w:usb0="00000001" w:usb1="0000004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8B1" w:rsidRPr="001000FF" w:rsidRDefault="00CF47ED">
    <w:pPr>
      <w:pStyle w:val="Stopka"/>
    </w:pPr>
    <w:r>
      <w:rPr>
        <w:noProof/>
      </w:rPr>
      <w:drawing>
        <wp:inline distT="0" distB="0" distL="0" distR="0">
          <wp:extent cx="5924550" cy="581025"/>
          <wp:effectExtent l="0" t="0" r="0" b="9525"/>
          <wp:docPr id="2" name="Obraz 2" descr="Kopia_zapasowa_LUG papier firmowy_light fact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pia_zapasowa_LUG papier firmowy_light facto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DFD" w:rsidRDefault="00111DFD">
      <w:r>
        <w:separator/>
      </w:r>
    </w:p>
  </w:footnote>
  <w:footnote w:type="continuationSeparator" w:id="0">
    <w:p w:rsidR="00111DFD" w:rsidRDefault="00111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281" w:rsidRPr="00A83E2A" w:rsidRDefault="00CF47ED">
    <w:pPr>
      <w:pStyle w:val="Nagwek"/>
    </w:pPr>
    <w:r>
      <w:rPr>
        <w:noProof/>
      </w:rPr>
      <w:drawing>
        <wp:inline distT="0" distB="0" distL="0" distR="0">
          <wp:extent cx="5943600" cy="552450"/>
          <wp:effectExtent l="0" t="0" r="0" b="0"/>
          <wp:docPr id="1" name="Obraz 1" descr="nagłówek_lug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_lug 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3E2A">
      <w:t xml:space="preserve"> </w:t>
    </w:r>
    <w:r w:rsidR="005B1722">
      <w:t xml:space="preserve">        </w:t>
    </w:r>
  </w:p>
  <w:p w:rsidR="00B30281" w:rsidRPr="007858B1" w:rsidRDefault="00B30281">
    <w:pPr>
      <w:pStyle w:val="Nagwek"/>
      <w:rPr>
        <w:rFonts w:ascii="DINPl" w:hAnsi="DINPl"/>
      </w:rPr>
    </w:pPr>
    <w:r>
      <w:t xml:space="preserve">   </w:t>
    </w:r>
    <w:r w:rsidR="007858B1"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023"/>
    <w:multiLevelType w:val="hybridMultilevel"/>
    <w:tmpl w:val="C3A4E87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E3573BC"/>
    <w:multiLevelType w:val="hybridMultilevel"/>
    <w:tmpl w:val="A7D63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F643A"/>
    <w:multiLevelType w:val="hybridMultilevel"/>
    <w:tmpl w:val="A68CC01A"/>
    <w:lvl w:ilvl="0" w:tplc="7692203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20085D42">
      <w:start w:val="1"/>
      <w:numFmt w:val="lowerLetter"/>
      <w:lvlText w:val="%2."/>
      <w:lvlJc w:val="left"/>
      <w:pPr>
        <w:ind w:left="249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4A8750BC"/>
    <w:multiLevelType w:val="hybridMultilevel"/>
    <w:tmpl w:val="288E4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5202E"/>
    <w:multiLevelType w:val="hybridMultilevel"/>
    <w:tmpl w:val="F886E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557DD9"/>
    <w:multiLevelType w:val="hybridMultilevel"/>
    <w:tmpl w:val="6588AF42"/>
    <w:lvl w:ilvl="0" w:tplc="DB76EDB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B46707"/>
    <w:multiLevelType w:val="hybridMultilevel"/>
    <w:tmpl w:val="BD341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8E"/>
    <w:rsid w:val="00005541"/>
    <w:rsid w:val="00006765"/>
    <w:rsid w:val="00055E7D"/>
    <w:rsid w:val="000642FA"/>
    <w:rsid w:val="00070395"/>
    <w:rsid w:val="000821FE"/>
    <w:rsid w:val="000C341D"/>
    <w:rsid w:val="000F0201"/>
    <w:rsid w:val="001000FF"/>
    <w:rsid w:val="00111DFD"/>
    <w:rsid w:val="00122D1E"/>
    <w:rsid w:val="0012404D"/>
    <w:rsid w:val="00124B17"/>
    <w:rsid w:val="00171E6D"/>
    <w:rsid w:val="001B34CA"/>
    <w:rsid w:val="001D0402"/>
    <w:rsid w:val="0021240B"/>
    <w:rsid w:val="00220A66"/>
    <w:rsid w:val="00245355"/>
    <w:rsid w:val="00247D11"/>
    <w:rsid w:val="002515FF"/>
    <w:rsid w:val="00262876"/>
    <w:rsid w:val="00284FD0"/>
    <w:rsid w:val="002942A2"/>
    <w:rsid w:val="002A7D41"/>
    <w:rsid w:val="002B0413"/>
    <w:rsid w:val="002C6422"/>
    <w:rsid w:val="002F1F4B"/>
    <w:rsid w:val="00313B30"/>
    <w:rsid w:val="00317B6E"/>
    <w:rsid w:val="00334FB5"/>
    <w:rsid w:val="00346F57"/>
    <w:rsid w:val="003517A2"/>
    <w:rsid w:val="00360485"/>
    <w:rsid w:val="00363E52"/>
    <w:rsid w:val="003652F4"/>
    <w:rsid w:val="00380E61"/>
    <w:rsid w:val="003B030B"/>
    <w:rsid w:val="003D521C"/>
    <w:rsid w:val="003E4A26"/>
    <w:rsid w:val="003F23F4"/>
    <w:rsid w:val="003F6863"/>
    <w:rsid w:val="004414C7"/>
    <w:rsid w:val="00454A31"/>
    <w:rsid w:val="00462236"/>
    <w:rsid w:val="004656AE"/>
    <w:rsid w:val="004877AB"/>
    <w:rsid w:val="004C6615"/>
    <w:rsid w:val="00531831"/>
    <w:rsid w:val="005766D8"/>
    <w:rsid w:val="00596088"/>
    <w:rsid w:val="005B1722"/>
    <w:rsid w:val="005F766A"/>
    <w:rsid w:val="005F792F"/>
    <w:rsid w:val="006217BE"/>
    <w:rsid w:val="00641FC7"/>
    <w:rsid w:val="00655997"/>
    <w:rsid w:val="006945E8"/>
    <w:rsid w:val="006A44D3"/>
    <w:rsid w:val="006D4AE3"/>
    <w:rsid w:val="00711192"/>
    <w:rsid w:val="00763BF0"/>
    <w:rsid w:val="00770619"/>
    <w:rsid w:val="007858B1"/>
    <w:rsid w:val="007B2AD5"/>
    <w:rsid w:val="007C4322"/>
    <w:rsid w:val="007D2789"/>
    <w:rsid w:val="007F64A8"/>
    <w:rsid w:val="00803F08"/>
    <w:rsid w:val="00804521"/>
    <w:rsid w:val="00830F20"/>
    <w:rsid w:val="00857013"/>
    <w:rsid w:val="008A2022"/>
    <w:rsid w:val="008B35AA"/>
    <w:rsid w:val="008B61A1"/>
    <w:rsid w:val="00935224"/>
    <w:rsid w:val="0094442D"/>
    <w:rsid w:val="00962956"/>
    <w:rsid w:val="009925F8"/>
    <w:rsid w:val="00A00411"/>
    <w:rsid w:val="00A060DB"/>
    <w:rsid w:val="00A34D92"/>
    <w:rsid w:val="00A83E2A"/>
    <w:rsid w:val="00A955BD"/>
    <w:rsid w:val="00AD031A"/>
    <w:rsid w:val="00AD47C5"/>
    <w:rsid w:val="00AE457F"/>
    <w:rsid w:val="00B04E7C"/>
    <w:rsid w:val="00B15E8C"/>
    <w:rsid w:val="00B20D15"/>
    <w:rsid w:val="00B30281"/>
    <w:rsid w:val="00B77EA1"/>
    <w:rsid w:val="00BE1E83"/>
    <w:rsid w:val="00BE580E"/>
    <w:rsid w:val="00C02204"/>
    <w:rsid w:val="00C44584"/>
    <w:rsid w:val="00C55A35"/>
    <w:rsid w:val="00CD36E9"/>
    <w:rsid w:val="00CE3245"/>
    <w:rsid w:val="00CF47ED"/>
    <w:rsid w:val="00D2390D"/>
    <w:rsid w:val="00D34946"/>
    <w:rsid w:val="00D444D8"/>
    <w:rsid w:val="00D47BF0"/>
    <w:rsid w:val="00D5748E"/>
    <w:rsid w:val="00D72FA5"/>
    <w:rsid w:val="00DF5F51"/>
    <w:rsid w:val="00E2706C"/>
    <w:rsid w:val="00E93A15"/>
    <w:rsid w:val="00E95E8B"/>
    <w:rsid w:val="00EE36C2"/>
    <w:rsid w:val="00EF128B"/>
    <w:rsid w:val="00F1031D"/>
    <w:rsid w:val="00F22C04"/>
    <w:rsid w:val="00FC5613"/>
    <w:rsid w:val="00FD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02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4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302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281"/>
    <w:pPr>
      <w:tabs>
        <w:tab w:val="center" w:pos="4536"/>
        <w:tab w:val="right" w:pos="9072"/>
      </w:tabs>
    </w:pPr>
  </w:style>
  <w:style w:type="character" w:styleId="Hipercze">
    <w:name w:val="Hyperlink"/>
    <w:unhideWhenUsed/>
    <w:rsid w:val="00E93A15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E32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E3245"/>
    <w:pPr>
      <w:spacing w:before="100" w:beforeAutospacing="1" w:after="100" w:afterAutospacing="1"/>
    </w:pPr>
  </w:style>
  <w:style w:type="character" w:customStyle="1" w:styleId="dane">
    <w:name w:val="dane"/>
    <w:basedOn w:val="Domylnaczcionkaakapitu"/>
    <w:rsid w:val="00CE324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2F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2FA5"/>
  </w:style>
  <w:style w:type="character" w:styleId="Odwoanieprzypisukocowego">
    <w:name w:val="endnote reference"/>
    <w:basedOn w:val="Domylnaczcionkaakapitu"/>
    <w:uiPriority w:val="99"/>
    <w:semiHidden/>
    <w:unhideWhenUsed/>
    <w:rsid w:val="00D72FA5"/>
    <w:rPr>
      <w:vertAlign w:val="superscript"/>
    </w:rPr>
  </w:style>
  <w:style w:type="character" w:styleId="Pogrubienie">
    <w:name w:val="Strong"/>
    <w:uiPriority w:val="22"/>
    <w:qFormat/>
    <w:rsid w:val="0021240B"/>
    <w:rPr>
      <w:b/>
      <w:bCs/>
    </w:rPr>
  </w:style>
  <w:style w:type="character" w:customStyle="1" w:styleId="Nagwek1Znak">
    <w:name w:val="Nagłówek 1 Znak"/>
    <w:link w:val="Nagwek1"/>
    <w:rsid w:val="00D2390D"/>
    <w:rPr>
      <w:rFonts w:ascii="Arial" w:hAnsi="Arial" w:cs="Arial"/>
      <w:b/>
      <w:bCs/>
      <w:kern w:val="32"/>
      <w:sz w:val="32"/>
      <w:szCs w:val="32"/>
    </w:rPr>
  </w:style>
  <w:style w:type="character" w:customStyle="1" w:styleId="TextChar">
    <w:name w:val="Text Char"/>
    <w:link w:val="Text"/>
    <w:locked/>
    <w:rsid w:val="00D2390D"/>
    <w:rPr>
      <w:rFonts w:ascii="Century Gothic" w:hAnsi="Century Gothic"/>
      <w:sz w:val="18"/>
      <w:szCs w:val="18"/>
      <w:lang w:bidi="pl-PL"/>
    </w:rPr>
  </w:style>
  <w:style w:type="paragraph" w:customStyle="1" w:styleId="Text">
    <w:name w:val="Text"/>
    <w:basedOn w:val="Normalny"/>
    <w:link w:val="TextChar"/>
    <w:rsid w:val="00D2390D"/>
    <w:pPr>
      <w:spacing w:after="220" w:line="336" w:lineRule="auto"/>
    </w:pPr>
    <w:rPr>
      <w:rFonts w:ascii="Century Gothic" w:hAnsi="Century Gothic"/>
      <w:sz w:val="18"/>
      <w:szCs w:val="18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4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41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3494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F23F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3F23F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48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02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4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302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281"/>
    <w:pPr>
      <w:tabs>
        <w:tab w:val="center" w:pos="4536"/>
        <w:tab w:val="right" w:pos="9072"/>
      </w:tabs>
    </w:pPr>
  </w:style>
  <w:style w:type="character" w:styleId="Hipercze">
    <w:name w:val="Hyperlink"/>
    <w:unhideWhenUsed/>
    <w:rsid w:val="00E93A15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E32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E3245"/>
    <w:pPr>
      <w:spacing w:before="100" w:beforeAutospacing="1" w:after="100" w:afterAutospacing="1"/>
    </w:pPr>
  </w:style>
  <w:style w:type="character" w:customStyle="1" w:styleId="dane">
    <w:name w:val="dane"/>
    <w:basedOn w:val="Domylnaczcionkaakapitu"/>
    <w:rsid w:val="00CE324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2F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2FA5"/>
  </w:style>
  <w:style w:type="character" w:styleId="Odwoanieprzypisukocowego">
    <w:name w:val="endnote reference"/>
    <w:basedOn w:val="Domylnaczcionkaakapitu"/>
    <w:uiPriority w:val="99"/>
    <w:semiHidden/>
    <w:unhideWhenUsed/>
    <w:rsid w:val="00D72FA5"/>
    <w:rPr>
      <w:vertAlign w:val="superscript"/>
    </w:rPr>
  </w:style>
  <w:style w:type="character" w:styleId="Pogrubienie">
    <w:name w:val="Strong"/>
    <w:uiPriority w:val="22"/>
    <w:qFormat/>
    <w:rsid w:val="0021240B"/>
    <w:rPr>
      <w:b/>
      <w:bCs/>
    </w:rPr>
  </w:style>
  <w:style w:type="character" w:customStyle="1" w:styleId="Nagwek1Znak">
    <w:name w:val="Nagłówek 1 Znak"/>
    <w:link w:val="Nagwek1"/>
    <w:rsid w:val="00D2390D"/>
    <w:rPr>
      <w:rFonts w:ascii="Arial" w:hAnsi="Arial" w:cs="Arial"/>
      <w:b/>
      <w:bCs/>
      <w:kern w:val="32"/>
      <w:sz w:val="32"/>
      <w:szCs w:val="32"/>
    </w:rPr>
  </w:style>
  <w:style w:type="character" w:customStyle="1" w:styleId="TextChar">
    <w:name w:val="Text Char"/>
    <w:link w:val="Text"/>
    <w:locked/>
    <w:rsid w:val="00D2390D"/>
    <w:rPr>
      <w:rFonts w:ascii="Century Gothic" w:hAnsi="Century Gothic"/>
      <w:sz w:val="18"/>
      <w:szCs w:val="18"/>
      <w:lang w:bidi="pl-PL"/>
    </w:rPr>
  </w:style>
  <w:style w:type="paragraph" w:customStyle="1" w:styleId="Text">
    <w:name w:val="Text"/>
    <w:basedOn w:val="Normalny"/>
    <w:link w:val="TextChar"/>
    <w:rsid w:val="00D2390D"/>
    <w:pPr>
      <w:spacing w:after="220" w:line="336" w:lineRule="auto"/>
    </w:pPr>
    <w:rPr>
      <w:rFonts w:ascii="Century Gothic" w:hAnsi="Century Gothic"/>
      <w:sz w:val="18"/>
      <w:szCs w:val="18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4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41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3494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F23F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3F23F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48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eg.org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se.seg.org.p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ug.com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elacje@lug.com.pl" TargetMode="External"/><Relationship Id="rId10" Type="http://schemas.openxmlformats.org/officeDocument/2006/relationships/hyperlink" Target="http://www.lug.com.pl/relacje-inwestorski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monika.bartoszak@lug.com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612B8-7E0A-4B19-BC2A-21778CB6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lug</Company>
  <LinksUpToDate>false</LinksUpToDate>
  <CharactersWithSpaces>4079</CharactersWithSpaces>
  <SharedDoc>false</SharedDoc>
  <HLinks>
    <vt:vector size="6" baseType="variant">
      <vt:variant>
        <vt:i4>7405606</vt:i4>
      </vt:variant>
      <vt:variant>
        <vt:i4>0</vt:i4>
      </vt:variant>
      <vt:variant>
        <vt:i4>0</vt:i4>
      </vt:variant>
      <vt:variant>
        <vt:i4>5</vt:i4>
      </vt:variant>
      <vt:variant>
        <vt:lpwstr>http://www.lug.com.pl/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Szczesniak</dc:creator>
  <cp:lastModifiedBy>Monika</cp:lastModifiedBy>
  <cp:revision>2</cp:revision>
  <cp:lastPrinted>2011-05-19T12:24:00Z</cp:lastPrinted>
  <dcterms:created xsi:type="dcterms:W3CDTF">2016-06-13T08:23:00Z</dcterms:created>
  <dcterms:modified xsi:type="dcterms:W3CDTF">2016-06-13T08:23:00Z</dcterms:modified>
</cp:coreProperties>
</file>