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D" w:rsidRDefault="00D2390D" w:rsidP="00D2390D">
      <w:pPr>
        <w:pStyle w:val="Nagwek1"/>
        <w:spacing w:before="120"/>
        <w:jc w:val="right"/>
        <w:rPr>
          <w:rFonts w:ascii="Calibri" w:hAnsi="Calibri" w:cs="Tahoma"/>
          <w:color w:val="404040"/>
        </w:rPr>
      </w:pPr>
      <w:r>
        <w:rPr>
          <w:rFonts w:ascii="Calibri" w:hAnsi="Calibri" w:cs="Tahoma"/>
          <w:color w:val="404040"/>
        </w:rPr>
        <w:t>Informacja prasowa</w:t>
      </w:r>
    </w:p>
    <w:p w:rsidR="005B1722" w:rsidRDefault="003D521C" w:rsidP="00DF5F5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</w:t>
      </w:r>
      <w:r w:rsidR="00DF5F51">
        <w:rPr>
          <w:rFonts w:ascii="Calibri" w:hAnsi="Calibri"/>
          <w:sz w:val="22"/>
          <w:szCs w:val="22"/>
        </w:rPr>
        <w:t>.</w:t>
      </w:r>
      <w:r w:rsidR="00A00411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5</w:t>
      </w:r>
      <w:r w:rsidR="00DF5F51">
        <w:rPr>
          <w:rFonts w:ascii="Calibri" w:hAnsi="Calibri"/>
          <w:sz w:val="22"/>
          <w:szCs w:val="22"/>
        </w:rPr>
        <w:t>.201</w:t>
      </w:r>
      <w:r w:rsidR="00A00411">
        <w:rPr>
          <w:rFonts w:ascii="Calibri" w:hAnsi="Calibri"/>
          <w:sz w:val="22"/>
          <w:szCs w:val="22"/>
        </w:rPr>
        <w:t>6</w:t>
      </w:r>
      <w:r w:rsidR="00DF5F51">
        <w:rPr>
          <w:rFonts w:ascii="Calibri" w:hAnsi="Calibri"/>
          <w:sz w:val="22"/>
          <w:szCs w:val="22"/>
        </w:rPr>
        <w:t>r.</w:t>
      </w: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E2706C" w:rsidRPr="00E2706C" w:rsidRDefault="00E2706C" w:rsidP="00DF5F51">
      <w:pPr>
        <w:jc w:val="right"/>
        <w:rPr>
          <w:rFonts w:ascii="Calibri" w:hAnsi="Calibri"/>
          <w:szCs w:val="22"/>
        </w:rPr>
      </w:pPr>
    </w:p>
    <w:p w:rsidR="00DF5F51" w:rsidRPr="00247D11" w:rsidRDefault="00247D11" w:rsidP="00DF5F51">
      <w:pPr>
        <w:rPr>
          <w:rFonts w:ascii="Calibri" w:hAnsi="Calibri"/>
          <w:sz w:val="32"/>
          <w:szCs w:val="22"/>
        </w:rPr>
      </w:pPr>
      <w:r w:rsidRPr="00247D11">
        <w:rPr>
          <w:rFonts w:ascii="Calibri" w:hAnsi="Calibri"/>
          <w:sz w:val="32"/>
          <w:szCs w:val="22"/>
        </w:rPr>
        <w:t xml:space="preserve">Grupa Kapitałowa LUG S.A.: </w:t>
      </w:r>
    </w:p>
    <w:p w:rsidR="00247D11" w:rsidRPr="00247D11" w:rsidRDefault="003D521C" w:rsidP="00DF5F51">
      <w:pPr>
        <w:rPr>
          <w:rFonts w:ascii="Calibri" w:hAnsi="Calibri"/>
          <w:b/>
          <w:sz w:val="36"/>
          <w:szCs w:val="22"/>
        </w:rPr>
      </w:pPr>
      <w:r>
        <w:rPr>
          <w:rFonts w:ascii="Calibri" w:hAnsi="Calibri"/>
          <w:b/>
          <w:sz w:val="36"/>
          <w:szCs w:val="22"/>
        </w:rPr>
        <w:t xml:space="preserve">Komunikacja online </w:t>
      </w:r>
      <w:r w:rsidR="00641FC7">
        <w:rPr>
          <w:rFonts w:ascii="Calibri" w:hAnsi="Calibri"/>
          <w:b/>
          <w:sz w:val="36"/>
          <w:szCs w:val="22"/>
        </w:rPr>
        <w:t xml:space="preserve">LUG </w:t>
      </w:r>
      <w:bookmarkStart w:id="0" w:name="_GoBack"/>
      <w:bookmarkEnd w:id="0"/>
      <w:r>
        <w:rPr>
          <w:rFonts w:ascii="Calibri" w:hAnsi="Calibri"/>
          <w:b/>
          <w:sz w:val="36"/>
          <w:szCs w:val="22"/>
        </w:rPr>
        <w:t>w służbie inwestorom</w:t>
      </w:r>
    </w:p>
    <w:p w:rsidR="00FD5415" w:rsidRDefault="00FD5415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Default="00247D11" w:rsidP="00DF5F51">
      <w:pPr>
        <w:rPr>
          <w:rFonts w:ascii="Calibri" w:hAnsi="Calibri"/>
          <w:b/>
          <w:noProof/>
          <w:sz w:val="28"/>
          <w:szCs w:val="22"/>
        </w:rPr>
      </w:pPr>
    </w:p>
    <w:p w:rsidR="004877AB" w:rsidRDefault="00BE1E83" w:rsidP="00A34D92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b/>
          <w:noProof/>
          <w:sz w:val="28"/>
          <w:szCs w:val="22"/>
        </w:rPr>
        <w:drawing>
          <wp:anchor distT="107950" distB="107950" distL="252095" distR="252095" simplePos="0" relativeHeight="251658240" behindDoc="1" locked="0" layoutInCell="1" allowOverlap="1" wp14:anchorId="40596AA0" wp14:editId="415C615A">
            <wp:simplePos x="0" y="0"/>
            <wp:positionH relativeFrom="column">
              <wp:posOffset>2600960</wp:posOffset>
            </wp:positionH>
            <wp:positionV relativeFrom="paragraph">
              <wp:posOffset>904875</wp:posOffset>
            </wp:positionV>
            <wp:extent cx="3297555" cy="2004695"/>
            <wp:effectExtent l="0" t="0" r="0" b="0"/>
            <wp:wrapSquare wrapText="bothSides"/>
            <wp:docPr id="7" name="Obraz 7" descr="C:\Users\Monika\Desktop\RAPORT ROCZNY ONLINE 2015\promocja\grafika\raport onlineV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RAPORT ROCZNY ONLINE 2015\promocja\grafika\raport online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11" w:rsidRPr="007B2AD5">
        <w:rPr>
          <w:rFonts w:ascii="Calibri" w:hAnsi="Calibri"/>
          <w:noProof/>
          <w:sz w:val="22"/>
          <w:szCs w:val="22"/>
        </w:rPr>
        <w:t>Zielona Góra – Grupa Kapitałowa LUG S.A. (NewConnect: LUG</w:t>
      </w:r>
      <w:r w:rsidR="003D521C">
        <w:rPr>
          <w:rFonts w:ascii="Calibri" w:hAnsi="Calibri"/>
          <w:noProof/>
          <w:sz w:val="22"/>
          <w:szCs w:val="22"/>
        </w:rPr>
        <w:t xml:space="preserve">) uruchomiła właśnie </w:t>
      </w:r>
      <w:hyperlink r:id="rId11" w:history="1">
        <w:r w:rsidR="003D521C" w:rsidRPr="00BE1E83">
          <w:rPr>
            <w:rStyle w:val="Hipercze"/>
            <w:rFonts w:ascii="Calibri" w:hAnsi="Calibri"/>
            <w:noProof/>
            <w:sz w:val="22"/>
            <w:szCs w:val="22"/>
          </w:rPr>
          <w:t>wersję online raportu rocznego</w:t>
        </w:r>
      </w:hyperlink>
      <w:r w:rsidR="003D521C">
        <w:rPr>
          <w:rFonts w:ascii="Calibri" w:hAnsi="Calibri"/>
          <w:noProof/>
          <w:sz w:val="22"/>
          <w:szCs w:val="22"/>
        </w:rPr>
        <w:t xml:space="preserve"> opublikowanego przed kilkoma dniami. To już czwarty raport roczny w wersji elektronicznej udostępniony przez Spółkę inwestorom poszukującym szybkich i rzetelnych informacji przedstawionych w łatwo dostępnej formie dedykowanej strony internetowej. Jak co roku</w:t>
      </w:r>
      <w:r w:rsidR="00A34D92">
        <w:rPr>
          <w:rFonts w:ascii="Calibri" w:hAnsi="Calibri"/>
          <w:noProof/>
          <w:sz w:val="22"/>
          <w:szCs w:val="22"/>
        </w:rPr>
        <w:t>,</w:t>
      </w:r>
      <w:r w:rsidR="003D521C">
        <w:rPr>
          <w:rFonts w:ascii="Calibri" w:hAnsi="Calibri"/>
          <w:noProof/>
          <w:sz w:val="22"/>
          <w:szCs w:val="22"/>
        </w:rPr>
        <w:t xml:space="preserve"> Spółka zadbałą o ergonomię i użyteczność swojego raportu online</w:t>
      </w:r>
      <w:r w:rsidR="004877AB">
        <w:rPr>
          <w:rFonts w:ascii="Calibri" w:hAnsi="Calibri"/>
          <w:noProof/>
          <w:sz w:val="22"/>
          <w:szCs w:val="22"/>
        </w:rPr>
        <w:t>, która objawia się w następujących funkcjonalnościach:</w:t>
      </w:r>
    </w:p>
    <w:p w:rsidR="00BE1E83" w:rsidRDefault="00BE1E83" w:rsidP="00A34D92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4877AB" w:rsidRDefault="00A34D92" w:rsidP="00BE1E83">
      <w:pPr>
        <w:pStyle w:val="Akapitzlist"/>
        <w:numPr>
          <w:ilvl w:val="0"/>
          <w:numId w:val="7"/>
        </w:numPr>
        <w:ind w:left="284" w:hanging="284"/>
        <w:jc w:val="both"/>
        <w:rPr>
          <w:noProof/>
        </w:rPr>
      </w:pPr>
      <w:r>
        <w:rPr>
          <w:noProof/>
        </w:rPr>
        <w:t>podsumowanie</w:t>
      </w:r>
      <w:r w:rsidR="00641FC7">
        <w:rPr>
          <w:noProof/>
        </w:rPr>
        <w:t xml:space="preserve"> roku w ujęciu korporacyjnym</w:t>
      </w:r>
      <w:r w:rsidR="004877AB">
        <w:rPr>
          <w:noProof/>
        </w:rPr>
        <w:t xml:space="preserve"> i finansowym pozwalające </w:t>
      </w:r>
      <w:r w:rsidR="002C6422">
        <w:rPr>
          <w:noProof/>
        </w:rPr>
        <w:t>na szybką analizę najważniejsz</w:t>
      </w:r>
      <w:r>
        <w:rPr>
          <w:noProof/>
        </w:rPr>
        <w:t>ych wydarzeń</w:t>
      </w:r>
      <w:r w:rsidR="002C6422">
        <w:rPr>
          <w:noProof/>
        </w:rPr>
        <w:t xml:space="preserve"> 2015 roku;</w:t>
      </w:r>
    </w:p>
    <w:p w:rsidR="004877AB" w:rsidRPr="004877AB" w:rsidRDefault="004877AB" w:rsidP="00BE1E83">
      <w:pPr>
        <w:pStyle w:val="Akapitzlist"/>
        <w:numPr>
          <w:ilvl w:val="0"/>
          <w:numId w:val="7"/>
        </w:numPr>
        <w:ind w:left="284" w:hanging="284"/>
        <w:jc w:val="both"/>
        <w:rPr>
          <w:noProof/>
        </w:rPr>
      </w:pPr>
      <w:r>
        <w:rPr>
          <w:noProof/>
        </w:rPr>
        <w:t>prezentacja wyników finansowych zarówno w formie tabelarycznej, jak również przy pomocy narzędzia Centrum wyników;</w:t>
      </w:r>
    </w:p>
    <w:p w:rsidR="003D521C" w:rsidRPr="004877AB" w:rsidRDefault="004877AB" w:rsidP="00BE1E83">
      <w:pPr>
        <w:pStyle w:val="Akapitzlist"/>
        <w:numPr>
          <w:ilvl w:val="0"/>
          <w:numId w:val="7"/>
        </w:numPr>
        <w:ind w:left="284" w:hanging="284"/>
        <w:jc w:val="both"/>
        <w:rPr>
          <w:noProof/>
        </w:rPr>
      </w:pPr>
      <w:r>
        <w:rPr>
          <w:rFonts w:cs="Tahoma"/>
          <w:bCs/>
          <w:szCs w:val="20"/>
        </w:rPr>
        <w:t>obszerne informacje na temat otoczenia biznesowego, które w przystępnej graficznej formie prezentują perspektywy branży oświetleniowej, w której działa;</w:t>
      </w:r>
    </w:p>
    <w:p w:rsidR="004877AB" w:rsidRPr="004877AB" w:rsidRDefault="004877AB" w:rsidP="00BE1E83">
      <w:pPr>
        <w:pStyle w:val="Akapitzlist"/>
        <w:numPr>
          <w:ilvl w:val="0"/>
          <w:numId w:val="7"/>
        </w:numPr>
        <w:ind w:left="284" w:hanging="284"/>
        <w:jc w:val="both"/>
        <w:rPr>
          <w:noProof/>
        </w:rPr>
      </w:pPr>
      <w:r>
        <w:rPr>
          <w:rFonts w:cs="Tahoma"/>
          <w:bCs/>
          <w:szCs w:val="20"/>
        </w:rPr>
        <w:t>schowek, który umożliwia grupowanie interesujących treści w jednym miejscu w celu późniejszego odczytu bądź wydruku;</w:t>
      </w:r>
    </w:p>
    <w:p w:rsidR="004877AB" w:rsidRPr="004877AB" w:rsidRDefault="004877AB" w:rsidP="00BE1E83">
      <w:pPr>
        <w:pStyle w:val="Akapitzlist"/>
        <w:numPr>
          <w:ilvl w:val="0"/>
          <w:numId w:val="7"/>
        </w:numPr>
        <w:ind w:left="284" w:hanging="284"/>
        <w:jc w:val="both"/>
        <w:rPr>
          <w:noProof/>
        </w:rPr>
      </w:pPr>
      <w:r>
        <w:rPr>
          <w:rFonts w:cs="Tahoma"/>
          <w:bCs/>
          <w:szCs w:val="20"/>
        </w:rPr>
        <w:t>wersja dla niedowidzących</w:t>
      </w:r>
      <w:r w:rsidR="00BE1E83">
        <w:rPr>
          <w:rFonts w:cs="Tahoma"/>
          <w:bCs/>
          <w:szCs w:val="20"/>
        </w:rPr>
        <w:t xml:space="preserve"> ułatwiają korzystanie z serwisu osobom z problemami ze wzrokiem</w:t>
      </w:r>
      <w:r>
        <w:rPr>
          <w:rFonts w:cs="Tahoma"/>
          <w:bCs/>
          <w:szCs w:val="20"/>
        </w:rPr>
        <w:t>;</w:t>
      </w:r>
    </w:p>
    <w:p w:rsidR="004877AB" w:rsidRPr="004877AB" w:rsidRDefault="004877AB" w:rsidP="00BE1E83">
      <w:pPr>
        <w:pStyle w:val="Akapitzlist"/>
        <w:numPr>
          <w:ilvl w:val="0"/>
          <w:numId w:val="7"/>
        </w:numPr>
        <w:ind w:left="284" w:hanging="284"/>
        <w:jc w:val="both"/>
        <w:rPr>
          <w:noProof/>
        </w:rPr>
      </w:pPr>
      <w:r>
        <w:rPr>
          <w:rFonts w:cs="Tahoma"/>
          <w:bCs/>
          <w:szCs w:val="20"/>
        </w:rPr>
        <w:t>w najbliższym czasie zostanie również uruchomiona wersja angielskojęzyczna</w:t>
      </w:r>
      <w:r w:rsidR="00BE1E83">
        <w:rPr>
          <w:rFonts w:cs="Tahoma"/>
          <w:bCs/>
          <w:szCs w:val="20"/>
        </w:rPr>
        <w:t xml:space="preserve"> raportu</w:t>
      </w:r>
      <w:r>
        <w:rPr>
          <w:rFonts w:cs="Tahoma"/>
          <w:bCs/>
          <w:szCs w:val="20"/>
        </w:rPr>
        <w:t>.</w:t>
      </w:r>
    </w:p>
    <w:p w:rsidR="003D521C" w:rsidRDefault="003D521C" w:rsidP="00DF5F51">
      <w:pPr>
        <w:rPr>
          <w:rFonts w:ascii="Calibri" w:hAnsi="Calibri"/>
          <w:noProof/>
          <w:sz w:val="22"/>
          <w:szCs w:val="22"/>
        </w:rPr>
      </w:pPr>
    </w:p>
    <w:p w:rsidR="00247D11" w:rsidRDefault="00317B6E" w:rsidP="00DF5F51">
      <w:pPr>
        <w:rPr>
          <w:rFonts w:ascii="Calibri" w:hAnsi="Calibri"/>
          <w:b/>
          <w:noProof/>
          <w:szCs w:val="22"/>
        </w:rPr>
      </w:pPr>
      <w:r w:rsidRPr="004656AE">
        <w:rPr>
          <w:rFonts w:ascii="Calibri" w:hAnsi="Calibri"/>
          <w:b/>
          <w:noProof/>
          <w:szCs w:val="22"/>
        </w:rPr>
        <w:t xml:space="preserve">Podsumowanie </w:t>
      </w:r>
    </w:p>
    <w:p w:rsidR="004656AE" w:rsidRDefault="004656AE" w:rsidP="00DF5F51">
      <w:pPr>
        <w:rPr>
          <w:rFonts w:ascii="Calibri" w:hAnsi="Calibri"/>
          <w:b/>
          <w:noProof/>
          <w:szCs w:val="22"/>
        </w:rPr>
      </w:pPr>
    </w:p>
    <w:p w:rsidR="004656AE" w:rsidRPr="00FC5613" w:rsidRDefault="004656AE" w:rsidP="00313B30">
      <w:pPr>
        <w:jc w:val="both"/>
        <w:rPr>
          <w:rFonts w:ascii="Calibri" w:hAnsi="Calibri"/>
          <w:b/>
          <w:noProof/>
          <w:sz w:val="22"/>
          <w:szCs w:val="22"/>
        </w:rPr>
      </w:pPr>
      <w:r w:rsidRPr="00313B30">
        <w:rPr>
          <w:rFonts w:ascii="Calibri" w:hAnsi="Calibri"/>
          <w:noProof/>
          <w:szCs w:val="22"/>
        </w:rPr>
        <w:t xml:space="preserve">- </w:t>
      </w:r>
      <w:r w:rsidRPr="00FC5613">
        <w:rPr>
          <w:rFonts w:ascii="Calibri" w:hAnsi="Calibri"/>
          <w:i/>
          <w:noProof/>
          <w:sz w:val="22"/>
          <w:szCs w:val="22"/>
        </w:rPr>
        <w:t xml:space="preserve">Bez wątpienia Internet jest nieodłoczną częścią życia każdego człowieka, dlatego </w:t>
      </w:r>
      <w:r w:rsidR="00313B30" w:rsidRPr="00FC5613">
        <w:rPr>
          <w:rFonts w:ascii="Calibri" w:hAnsi="Calibri"/>
          <w:i/>
          <w:noProof/>
          <w:sz w:val="22"/>
          <w:szCs w:val="22"/>
        </w:rPr>
        <w:t>informacja przekazywana drogą</w:t>
      </w:r>
      <w:r w:rsidRPr="00FC5613">
        <w:rPr>
          <w:rFonts w:ascii="Calibri" w:hAnsi="Calibri"/>
          <w:i/>
          <w:noProof/>
          <w:sz w:val="22"/>
          <w:szCs w:val="22"/>
        </w:rPr>
        <w:t xml:space="preserve"> </w:t>
      </w:r>
      <w:r w:rsidR="00313B30" w:rsidRPr="00FC5613">
        <w:rPr>
          <w:rFonts w:ascii="Calibri" w:hAnsi="Calibri"/>
          <w:i/>
          <w:noProof/>
          <w:sz w:val="22"/>
          <w:szCs w:val="22"/>
        </w:rPr>
        <w:t xml:space="preserve">elektroniczną na stałe wpisała się w ramy naszej polityki komunikacji korporacyjnej. Jako spółka działająca w segmencie nowych technologii chcemy promować dobre wzorce i dostarczać informacji o naszych osiągnięciach w nowoczesnej formie raporów rocznych online, które </w:t>
      </w:r>
      <w:r w:rsidR="00FC5613">
        <w:rPr>
          <w:rFonts w:ascii="Calibri" w:hAnsi="Calibri"/>
          <w:i/>
          <w:noProof/>
          <w:sz w:val="22"/>
          <w:szCs w:val="22"/>
        </w:rPr>
        <w:lastRenderedPageBreak/>
        <w:t xml:space="preserve">już </w:t>
      </w:r>
      <w:r w:rsidR="00313B30" w:rsidRPr="00FC5613">
        <w:rPr>
          <w:rFonts w:ascii="Calibri" w:hAnsi="Calibri"/>
          <w:i/>
          <w:noProof/>
          <w:sz w:val="22"/>
          <w:szCs w:val="22"/>
        </w:rPr>
        <w:t>od 4 lat służą naszym inwestorom i akcjonariuszom</w:t>
      </w:r>
      <w:r w:rsidR="00313B30" w:rsidRPr="00FC5613">
        <w:rPr>
          <w:rFonts w:ascii="Calibri" w:hAnsi="Calibri"/>
          <w:noProof/>
          <w:sz w:val="22"/>
          <w:szCs w:val="22"/>
        </w:rPr>
        <w:t xml:space="preserve"> – wyjaśnia Monika Bartoszak, Kierownik ds. relacji inwestorskich w LUG S.A.</w:t>
      </w:r>
    </w:p>
    <w:p w:rsidR="004656AE" w:rsidRDefault="004656AE" w:rsidP="00DF5F51">
      <w:pPr>
        <w:rPr>
          <w:rFonts w:ascii="Calibri" w:hAnsi="Calibri"/>
          <w:b/>
          <w:noProof/>
          <w:szCs w:val="22"/>
        </w:rPr>
      </w:pPr>
    </w:p>
    <w:p w:rsidR="00FC5613" w:rsidRPr="00FC5613" w:rsidRDefault="00FC5613" w:rsidP="00FC5613">
      <w:pPr>
        <w:spacing w:line="276" w:lineRule="auto"/>
        <w:jc w:val="both"/>
        <w:rPr>
          <w:rFonts w:ascii="Calibri" w:hAnsi="Calibri"/>
          <w:noProof/>
          <w:szCs w:val="22"/>
        </w:rPr>
      </w:pPr>
      <w:r w:rsidRPr="00FC5613">
        <w:rPr>
          <w:rFonts w:ascii="Calibri" w:hAnsi="Calibri"/>
          <w:noProof/>
          <w:sz w:val="22"/>
          <w:szCs w:val="22"/>
        </w:rPr>
        <w:t xml:space="preserve">Raport roczny online LUG S.A. jest kolejnym dowodem tego, że Spółka aktywnie działa na rzecz promocji najwyższych standardów komunikacji na rynku NewConnect. Takie elementy jak porządek prawny czy przewidywalność i transparentność komunikacji, które są podstawowymi czynnikami kształtującymi zaufanie rynku do spółki kapitałowej, LUG uzupełnia wzorcami czerpanymi </w:t>
      </w:r>
      <w:r w:rsidRPr="00FC5613">
        <w:rPr>
          <w:rFonts w:ascii="Calibri" w:hAnsi="Calibri" w:cs="Tahoma"/>
          <w:bCs/>
          <w:sz w:val="22"/>
          <w:szCs w:val="22"/>
        </w:rPr>
        <w:t xml:space="preserve">od </w:t>
      </w:r>
      <w:r w:rsidRPr="00FC5613">
        <w:rPr>
          <w:rFonts w:ascii="Calibri" w:hAnsi="Calibri" w:cs="Tahoma"/>
          <w:bCs/>
          <w:sz w:val="22"/>
          <w:szCs w:val="22"/>
        </w:rPr>
        <w:t>największych</w:t>
      </w:r>
      <w:r w:rsidRPr="00FC5613">
        <w:rPr>
          <w:rFonts w:ascii="Calibri" w:hAnsi="Calibri" w:cs="Tahoma"/>
          <w:bCs/>
          <w:sz w:val="22"/>
          <w:szCs w:val="22"/>
        </w:rPr>
        <w:t xml:space="preserve"> spółek na polskim rynku kapitałowym. Następnie  przenosi je na pole Alternatywnego Systemu Obrotu, by pokazać, że tu również są podmioty godne uwagi inwestorów</w:t>
      </w:r>
      <w:r w:rsidRPr="00FC5613">
        <w:rPr>
          <w:rFonts w:ascii="Calibri" w:hAnsi="Calibri" w:cs="Tahoma"/>
          <w:bCs/>
          <w:sz w:val="22"/>
          <w:szCs w:val="20"/>
        </w:rPr>
        <w:t>.</w:t>
      </w:r>
    </w:p>
    <w:p w:rsidR="00317B6E" w:rsidRPr="003D521C" w:rsidRDefault="00317B6E" w:rsidP="00DF5F51">
      <w:pPr>
        <w:rPr>
          <w:rFonts w:ascii="Calibri" w:hAnsi="Calibri"/>
          <w:b/>
          <w:noProof/>
          <w:szCs w:val="22"/>
          <w:highlight w:val="yellow"/>
        </w:rPr>
      </w:pPr>
    </w:p>
    <w:p w:rsidR="004C6615" w:rsidRDefault="004C6615" w:rsidP="00641FC7">
      <w:pPr>
        <w:spacing w:line="276" w:lineRule="auto"/>
        <w:jc w:val="both"/>
        <w:rPr>
          <w:rFonts w:ascii="Helvetica" w:hAnsi="Helvetica"/>
          <w:bCs/>
          <w:sz w:val="20"/>
          <w:szCs w:val="20"/>
        </w:rPr>
      </w:pPr>
      <w:r w:rsidRPr="004C6615">
        <w:rPr>
          <w:rFonts w:ascii="Calibri" w:hAnsi="Calibri"/>
          <w:noProof/>
          <w:sz w:val="22"/>
          <w:szCs w:val="22"/>
        </w:rPr>
        <w:t xml:space="preserve">- </w:t>
      </w:r>
      <w:r w:rsidRPr="004C6615">
        <w:rPr>
          <w:rFonts w:ascii="Calibri" w:hAnsi="Calibri"/>
          <w:i/>
          <w:noProof/>
          <w:sz w:val="22"/>
          <w:szCs w:val="22"/>
        </w:rPr>
        <w:t>Bardzo nas cieszy, że przygotowany wspólnie Raport Roczny Online wpisuje się w ramy strategii komunikacji Grupy Kapitałowej LUG S.A.  Na zachodzie takie projekty są już standardem, jednak w Polsce decydują się na nie tylko bardzo świadome spółki, które dostrzegają dominującą rolę internetu w trendach komunikacyjnych na całym świecie</w:t>
      </w:r>
      <w:r w:rsidR="00641FC7">
        <w:rPr>
          <w:rFonts w:ascii="Calibri" w:hAnsi="Calibri"/>
          <w:i/>
          <w:noProof/>
          <w:sz w:val="22"/>
          <w:szCs w:val="22"/>
        </w:rPr>
        <w:t xml:space="preserve">. </w:t>
      </w:r>
      <w:r w:rsidR="00641FC7" w:rsidRPr="00641FC7">
        <w:rPr>
          <w:rFonts w:ascii="Calibri" w:hAnsi="Calibri"/>
          <w:i/>
          <w:iCs/>
          <w:sz w:val="22"/>
          <w:szCs w:val="22"/>
        </w:rPr>
        <w:t>Jesteśmy także bardzo zadowoleni z przystępnej dla szerszego grona odbiorców formy Raportu, która pokazuje otwartość Grupy na jak najlepszą komunikacj</w:t>
      </w:r>
      <w:r w:rsidR="00641FC7" w:rsidRPr="00641FC7">
        <w:rPr>
          <w:rFonts w:ascii="Calibri" w:hAnsi="Calibri"/>
          <w:i/>
          <w:iCs/>
          <w:sz w:val="22"/>
          <w:szCs w:val="22"/>
        </w:rPr>
        <w:t>ę</w:t>
      </w:r>
      <w:r w:rsidRPr="00641FC7">
        <w:rPr>
          <w:rFonts w:ascii="Calibri" w:hAnsi="Calibri"/>
          <w:noProof/>
          <w:sz w:val="22"/>
          <w:szCs w:val="22"/>
        </w:rPr>
        <w:t xml:space="preserve"> –</w:t>
      </w:r>
      <w:r w:rsidRPr="004C6615">
        <w:rPr>
          <w:rFonts w:ascii="Calibri" w:hAnsi="Calibri"/>
          <w:noProof/>
          <w:sz w:val="22"/>
          <w:szCs w:val="22"/>
        </w:rPr>
        <w:t xml:space="preserve"> podsumowuje współpracę Maja Janowska, Team Leader odpowiedzialna za projekt raportu ze strony </w:t>
      </w:r>
      <w:r w:rsidRPr="004C6615">
        <w:rPr>
          <w:rFonts w:ascii="Helvetica" w:hAnsi="Helvetica"/>
          <w:bCs/>
          <w:sz w:val="20"/>
          <w:szCs w:val="20"/>
        </w:rPr>
        <w:t>Agencj</w:t>
      </w:r>
      <w:r w:rsidRPr="004C6615">
        <w:rPr>
          <w:rFonts w:ascii="Helvetica" w:hAnsi="Helvetica"/>
          <w:bCs/>
          <w:sz w:val="20"/>
          <w:szCs w:val="20"/>
        </w:rPr>
        <w:t>i</w:t>
      </w:r>
      <w:r w:rsidRPr="004C6615">
        <w:rPr>
          <w:rFonts w:ascii="Helvetica" w:hAnsi="Helvetica"/>
          <w:bCs/>
          <w:sz w:val="20"/>
          <w:szCs w:val="20"/>
        </w:rPr>
        <w:t xml:space="preserve"> Reklamow</w:t>
      </w:r>
      <w:r w:rsidRPr="004C6615">
        <w:rPr>
          <w:rFonts w:ascii="Helvetica" w:hAnsi="Helvetica"/>
          <w:bCs/>
          <w:sz w:val="20"/>
          <w:szCs w:val="20"/>
        </w:rPr>
        <w:t>ej</w:t>
      </w:r>
      <w:r w:rsidRPr="004C6615">
        <w:rPr>
          <w:rFonts w:ascii="Helvetica" w:hAnsi="Helvetica"/>
          <w:bCs/>
          <w:sz w:val="20"/>
          <w:szCs w:val="20"/>
        </w:rPr>
        <w:t xml:space="preserve"> Art </w:t>
      </w:r>
      <w:proofErr w:type="spellStart"/>
      <w:r w:rsidRPr="004C6615">
        <w:rPr>
          <w:rFonts w:ascii="Helvetica" w:hAnsi="Helvetica"/>
          <w:bCs/>
          <w:sz w:val="20"/>
          <w:szCs w:val="20"/>
        </w:rPr>
        <w:t>Group</w:t>
      </w:r>
      <w:proofErr w:type="spellEnd"/>
      <w:r w:rsidRPr="004C6615">
        <w:rPr>
          <w:rFonts w:ascii="Helvetica" w:hAnsi="Helvetica"/>
          <w:bCs/>
          <w:sz w:val="20"/>
          <w:szCs w:val="20"/>
        </w:rPr>
        <w:t xml:space="preserve"> </w:t>
      </w:r>
    </w:p>
    <w:p w:rsidR="00641FC7" w:rsidRDefault="00641FC7" w:rsidP="00641FC7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317B6E" w:rsidRPr="00BE1E83" w:rsidRDefault="00BE1E83" w:rsidP="00BE1E83">
      <w:pPr>
        <w:jc w:val="both"/>
        <w:rPr>
          <w:rFonts w:ascii="Calibri" w:hAnsi="Calibri"/>
          <w:noProof/>
          <w:szCs w:val="22"/>
          <w:highlight w:val="yellow"/>
        </w:rPr>
      </w:pPr>
      <w:r w:rsidRPr="00BE1E83">
        <w:rPr>
          <w:rFonts w:ascii="Calibri" w:hAnsi="Calibri"/>
          <w:noProof/>
          <w:szCs w:val="22"/>
        </w:rPr>
        <w:t xml:space="preserve">Raport roczny w wersji online znajduje się pod adresem: </w:t>
      </w:r>
      <w:hyperlink r:id="rId12" w:history="1">
        <w:r w:rsidRPr="00BE1E83">
          <w:rPr>
            <w:rStyle w:val="Hipercze"/>
            <w:rFonts w:ascii="Calibri" w:hAnsi="Calibri"/>
            <w:noProof/>
            <w:szCs w:val="22"/>
          </w:rPr>
          <w:t>http://raportroczny2015.lug.com.pl/</w:t>
        </w:r>
      </w:hyperlink>
      <w:r>
        <w:rPr>
          <w:rFonts w:ascii="Calibri" w:hAnsi="Calibri"/>
          <w:noProof/>
          <w:szCs w:val="22"/>
        </w:rPr>
        <w:t xml:space="preserve">, natomiast </w:t>
      </w:r>
      <w:r>
        <w:rPr>
          <w:rFonts w:ascii="Calibri" w:hAnsi="Calibri"/>
          <w:noProof/>
          <w:sz w:val="22"/>
          <w:szCs w:val="22"/>
        </w:rPr>
        <w:t>p</w:t>
      </w:r>
      <w:r w:rsidR="00317B6E" w:rsidRPr="004877AB">
        <w:rPr>
          <w:rFonts w:ascii="Calibri" w:hAnsi="Calibri"/>
          <w:noProof/>
          <w:sz w:val="22"/>
          <w:szCs w:val="22"/>
        </w:rPr>
        <w:t>ełn</w:t>
      </w:r>
      <w:r w:rsidR="004877AB" w:rsidRPr="004877AB">
        <w:rPr>
          <w:rFonts w:ascii="Calibri" w:hAnsi="Calibri"/>
          <w:noProof/>
          <w:sz w:val="22"/>
          <w:szCs w:val="22"/>
        </w:rPr>
        <w:t xml:space="preserve">a wersja raportów rocznych, sprawozdań finansowych oraz opinie i raporty biegłego rewidenta </w:t>
      </w:r>
      <w:r>
        <w:rPr>
          <w:rFonts w:ascii="Calibri" w:hAnsi="Calibri"/>
          <w:noProof/>
          <w:sz w:val="22"/>
          <w:szCs w:val="22"/>
        </w:rPr>
        <w:t>są dostępne także na</w:t>
      </w:r>
      <w:r w:rsidR="004877AB" w:rsidRPr="004877AB">
        <w:rPr>
          <w:rFonts w:ascii="Calibri" w:hAnsi="Calibri"/>
          <w:noProof/>
          <w:sz w:val="22"/>
          <w:szCs w:val="22"/>
        </w:rPr>
        <w:t xml:space="preserve"> stronie internetowej Spółki </w:t>
      </w:r>
      <w:r w:rsidR="00317B6E" w:rsidRPr="004877AB">
        <w:rPr>
          <w:rFonts w:ascii="Calibri" w:hAnsi="Calibri"/>
          <w:noProof/>
          <w:sz w:val="22"/>
          <w:szCs w:val="22"/>
        </w:rPr>
        <w:t xml:space="preserve"> </w:t>
      </w:r>
      <w:hyperlink r:id="rId13" w:history="1">
        <w:r w:rsidR="004877AB" w:rsidRPr="004877AB">
          <w:rPr>
            <w:rStyle w:val="Hipercze"/>
          </w:rPr>
          <w:t>http://www.lug.com.pl/relacje-inwestorskie</w:t>
        </w:r>
      </w:hyperlink>
    </w:p>
    <w:p w:rsidR="00317B6E" w:rsidRDefault="00317B6E" w:rsidP="00DF5F51">
      <w:pPr>
        <w:rPr>
          <w:rFonts w:ascii="Calibri" w:hAnsi="Calibri"/>
          <w:noProof/>
          <w:szCs w:val="22"/>
        </w:rPr>
      </w:pPr>
    </w:p>
    <w:p w:rsidR="00247D11" w:rsidRPr="00E95E8B" w:rsidRDefault="00247D11" w:rsidP="00247D11">
      <w:pPr>
        <w:pStyle w:val="Text"/>
        <w:spacing w:after="0" w:line="240" w:lineRule="auto"/>
        <w:jc w:val="both"/>
        <w:rPr>
          <w:rFonts w:asciiTheme="minorHAnsi" w:hAnsiTheme="minorHAnsi" w:cs="Tahoma"/>
          <w:bCs/>
          <w:sz w:val="22"/>
          <w:szCs w:val="24"/>
        </w:rPr>
      </w:pPr>
      <w:r w:rsidRPr="00E95E8B">
        <w:rPr>
          <w:rFonts w:asciiTheme="minorHAnsi" w:hAnsiTheme="minorHAnsi" w:cs="Tahoma"/>
          <w:b/>
          <w:bCs/>
          <w:sz w:val="22"/>
          <w:szCs w:val="24"/>
        </w:rPr>
        <w:t xml:space="preserve">LUG S.A. </w:t>
      </w:r>
      <w:r w:rsidRPr="00E95E8B">
        <w:rPr>
          <w:rFonts w:asciiTheme="minorHAnsi" w:hAnsiTheme="minorHAnsi" w:cs="Tahoma"/>
          <w:bCs/>
          <w:sz w:val="22"/>
          <w:szCs w:val="24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Light Factory Sp. z o.o., LUG GmbH, LUG do </w:t>
      </w:r>
      <w:proofErr w:type="spellStart"/>
      <w:r w:rsidRPr="00E95E8B">
        <w:rPr>
          <w:rFonts w:asciiTheme="minorHAnsi" w:hAnsiTheme="minorHAnsi" w:cs="Tahoma"/>
          <w:bCs/>
          <w:sz w:val="22"/>
          <w:szCs w:val="24"/>
        </w:rPr>
        <w:t>Brazil</w:t>
      </w:r>
      <w:proofErr w:type="spellEnd"/>
      <w:r w:rsidRPr="00E95E8B">
        <w:rPr>
          <w:rFonts w:asciiTheme="minorHAnsi" w:hAnsiTheme="minorHAnsi" w:cs="Tahoma"/>
          <w:bCs/>
          <w:sz w:val="22"/>
          <w:szCs w:val="24"/>
        </w:rPr>
        <w:t xml:space="preserve"> </w:t>
      </w:r>
      <w:proofErr w:type="spellStart"/>
      <w:r w:rsidRPr="00E95E8B">
        <w:rPr>
          <w:rFonts w:asciiTheme="minorHAnsi" w:hAnsiTheme="minorHAnsi" w:cs="Tahoma"/>
          <w:bCs/>
          <w:sz w:val="22"/>
          <w:szCs w:val="24"/>
        </w:rPr>
        <w:t>Ltda</w:t>
      </w:r>
      <w:proofErr w:type="spellEnd"/>
      <w:r w:rsidRPr="00E95E8B">
        <w:rPr>
          <w:rFonts w:asciiTheme="minorHAnsi" w:hAnsiTheme="minorHAnsi" w:cs="Tahoma"/>
          <w:bCs/>
          <w:sz w:val="22"/>
          <w:szCs w:val="24"/>
        </w:rPr>
        <w:t xml:space="preserve">, LUG </w:t>
      </w:r>
      <w:proofErr w:type="spellStart"/>
      <w:r w:rsidRPr="00E95E8B">
        <w:rPr>
          <w:rFonts w:asciiTheme="minorHAnsi" w:hAnsiTheme="minorHAnsi" w:cs="Tahoma"/>
          <w:bCs/>
          <w:sz w:val="22"/>
          <w:szCs w:val="24"/>
        </w:rPr>
        <w:t>Lighting</w:t>
      </w:r>
      <w:proofErr w:type="spellEnd"/>
      <w:r w:rsidRPr="00E95E8B">
        <w:rPr>
          <w:rFonts w:asciiTheme="minorHAnsi" w:hAnsiTheme="minorHAnsi" w:cs="Tahoma"/>
          <w:bCs/>
          <w:sz w:val="22"/>
          <w:szCs w:val="24"/>
        </w:rPr>
        <w:t xml:space="preserve"> UK Ltd.  oraz TOW LUG Ukraina. LUG S.A. od listopada 2007 roku jest notowana na rynku </w:t>
      </w:r>
      <w:proofErr w:type="spellStart"/>
      <w:r w:rsidRPr="00E95E8B">
        <w:rPr>
          <w:rFonts w:asciiTheme="minorHAnsi" w:hAnsiTheme="minorHAnsi" w:cs="Tahoma"/>
          <w:bCs/>
          <w:sz w:val="22"/>
          <w:szCs w:val="24"/>
        </w:rPr>
        <w:t>NewConnect</w:t>
      </w:r>
      <w:proofErr w:type="spellEnd"/>
      <w:r w:rsidRPr="00E95E8B">
        <w:rPr>
          <w:rFonts w:asciiTheme="minorHAnsi" w:hAnsiTheme="minorHAnsi" w:cs="Tahoma"/>
          <w:bCs/>
          <w:sz w:val="22"/>
          <w:szCs w:val="24"/>
        </w:rPr>
        <w:t xml:space="preserve"> zarządzanym przez warszawską GPW. Więcej informacji: </w:t>
      </w:r>
      <w:hyperlink r:id="rId14" w:history="1">
        <w:r w:rsidRPr="00E95E8B">
          <w:rPr>
            <w:rStyle w:val="Hipercze"/>
            <w:rFonts w:asciiTheme="minorHAnsi" w:hAnsiTheme="minorHAnsi" w:cs="Tahoma"/>
            <w:bCs/>
            <w:sz w:val="22"/>
            <w:szCs w:val="24"/>
          </w:rPr>
          <w:t>www.lug.com.pl</w:t>
        </w:r>
      </w:hyperlink>
    </w:p>
    <w:p w:rsidR="00247D11" w:rsidRDefault="00247D11" w:rsidP="00DF5F51">
      <w:pPr>
        <w:rPr>
          <w:rFonts w:ascii="Calibri" w:hAnsi="Calibri"/>
          <w:noProof/>
          <w:szCs w:val="22"/>
        </w:rPr>
      </w:pPr>
    </w:p>
    <w:p w:rsidR="00317B6E" w:rsidRPr="00247D11" w:rsidRDefault="00317B6E" w:rsidP="00DF5F51">
      <w:pPr>
        <w:rPr>
          <w:rFonts w:ascii="Calibri" w:hAnsi="Calibri"/>
          <w:noProof/>
          <w:szCs w:val="22"/>
        </w:rPr>
      </w:pPr>
    </w:p>
    <w:p w:rsidR="00247D11" w:rsidRDefault="00317B6E" w:rsidP="00DF5F51">
      <w:pPr>
        <w:rPr>
          <w:rFonts w:ascii="Calibri" w:hAnsi="Calibri"/>
          <w:b/>
          <w:szCs w:val="22"/>
        </w:rPr>
      </w:pPr>
      <w:r w:rsidRPr="00317B6E">
        <w:rPr>
          <w:rFonts w:ascii="Calibri" w:hAnsi="Calibri"/>
          <w:b/>
          <w:szCs w:val="22"/>
        </w:rPr>
        <w:t>Kontakt:</w:t>
      </w:r>
    </w:p>
    <w:p w:rsidR="00317B6E" w:rsidRDefault="00317B6E" w:rsidP="00DF5F51">
      <w:pPr>
        <w:rPr>
          <w:rFonts w:ascii="Calibri" w:hAnsi="Calibri"/>
          <w:szCs w:val="22"/>
        </w:rPr>
      </w:pPr>
    </w:p>
    <w:p w:rsidR="00317B6E" w:rsidRPr="00317B6E" w:rsidRDefault="00317B6E" w:rsidP="00DF5F51">
      <w:pPr>
        <w:rPr>
          <w:rFonts w:ascii="Calibri" w:hAnsi="Calibri"/>
          <w:b/>
          <w:szCs w:val="22"/>
        </w:rPr>
      </w:pPr>
      <w:r w:rsidRPr="00317B6E">
        <w:rPr>
          <w:rFonts w:ascii="Calibri" w:hAnsi="Calibri"/>
          <w:b/>
          <w:szCs w:val="22"/>
        </w:rPr>
        <w:t>Monika Bartoszak</w:t>
      </w:r>
    </w:p>
    <w:p w:rsidR="00317B6E" w:rsidRDefault="00317B6E" w:rsidP="00DF5F51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+48 510 183 993</w:t>
      </w:r>
    </w:p>
    <w:p w:rsidR="00317B6E" w:rsidRDefault="008B61A1" w:rsidP="00317B6E">
      <w:pPr>
        <w:rPr>
          <w:rFonts w:ascii="Calibri" w:hAnsi="Calibri"/>
          <w:szCs w:val="22"/>
        </w:rPr>
      </w:pPr>
      <w:hyperlink r:id="rId15" w:history="1">
        <w:r w:rsidR="00317B6E" w:rsidRPr="00CF1C1D">
          <w:rPr>
            <w:rStyle w:val="Hipercze"/>
            <w:rFonts w:ascii="Calibri" w:hAnsi="Calibri"/>
            <w:szCs w:val="22"/>
          </w:rPr>
          <w:t>monika.bartoszak@lug.com.pl</w:t>
        </w:r>
      </w:hyperlink>
    </w:p>
    <w:p w:rsidR="00317B6E" w:rsidRDefault="008B61A1" w:rsidP="00DF5F51">
      <w:pPr>
        <w:rPr>
          <w:rFonts w:ascii="Calibri" w:hAnsi="Calibri"/>
          <w:szCs w:val="22"/>
        </w:rPr>
      </w:pPr>
      <w:hyperlink r:id="rId16" w:history="1">
        <w:r w:rsidR="00317B6E" w:rsidRPr="00CF1C1D">
          <w:rPr>
            <w:rStyle w:val="Hipercze"/>
            <w:rFonts w:ascii="Calibri" w:hAnsi="Calibri"/>
            <w:szCs w:val="22"/>
          </w:rPr>
          <w:t>relacje@lug.com.pl</w:t>
        </w:r>
      </w:hyperlink>
    </w:p>
    <w:p w:rsidR="00317B6E" w:rsidRPr="00317B6E" w:rsidRDefault="00317B6E" w:rsidP="00DF5F51">
      <w:pPr>
        <w:rPr>
          <w:rFonts w:ascii="Calibri" w:hAnsi="Calibri"/>
          <w:szCs w:val="22"/>
        </w:rPr>
      </w:pPr>
    </w:p>
    <w:p w:rsidR="00317B6E" w:rsidRDefault="00317B6E" w:rsidP="0021240B">
      <w:pPr>
        <w:jc w:val="both"/>
        <w:rPr>
          <w:rFonts w:asciiTheme="minorHAnsi" w:hAnsiTheme="minorHAnsi"/>
          <w:b/>
          <w:szCs w:val="22"/>
        </w:rPr>
      </w:pPr>
    </w:p>
    <w:p w:rsidR="00B20D15" w:rsidRPr="00262876" w:rsidRDefault="00B20D15" w:rsidP="0021240B">
      <w:pPr>
        <w:jc w:val="both"/>
        <w:rPr>
          <w:rFonts w:asciiTheme="minorHAnsi" w:hAnsiTheme="minorHAnsi"/>
          <w:sz w:val="20"/>
          <w:szCs w:val="22"/>
        </w:rPr>
      </w:pPr>
    </w:p>
    <w:p w:rsidR="000F0201" w:rsidRDefault="000F0201" w:rsidP="0021240B">
      <w:pPr>
        <w:jc w:val="both"/>
        <w:rPr>
          <w:rFonts w:ascii="Calibri" w:hAnsi="Calibri"/>
          <w:sz w:val="22"/>
          <w:szCs w:val="22"/>
        </w:rPr>
      </w:pPr>
    </w:p>
    <w:p w:rsidR="00803F08" w:rsidRPr="003B030B" w:rsidRDefault="00803F08" w:rsidP="00DF5F51">
      <w:pPr>
        <w:rPr>
          <w:rFonts w:ascii="Calibri" w:hAnsi="Calibri"/>
          <w:sz w:val="28"/>
          <w:szCs w:val="22"/>
        </w:rPr>
      </w:pPr>
    </w:p>
    <w:sectPr w:rsidR="00803F08" w:rsidRPr="003B030B" w:rsidSect="0012404D">
      <w:headerReference w:type="default" r:id="rId17"/>
      <w:footerReference w:type="default" r:id="rId18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A1" w:rsidRDefault="008B61A1">
      <w:r>
        <w:separator/>
      </w:r>
    </w:p>
  </w:endnote>
  <w:endnote w:type="continuationSeparator" w:id="0">
    <w:p w:rsidR="008B61A1" w:rsidRDefault="008B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B1" w:rsidRPr="001000FF" w:rsidRDefault="00CF47ED">
    <w:pPr>
      <w:pStyle w:val="Stopka"/>
    </w:pPr>
    <w:r>
      <w:rPr>
        <w:noProof/>
      </w:rPr>
      <w:drawing>
        <wp:inline distT="0" distB="0" distL="0" distR="0">
          <wp:extent cx="5924550" cy="581025"/>
          <wp:effectExtent l="0" t="0" r="0" b="9525"/>
          <wp:docPr id="2" name="Obraz 2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A1" w:rsidRDefault="008B61A1">
      <w:r>
        <w:separator/>
      </w:r>
    </w:p>
  </w:footnote>
  <w:footnote w:type="continuationSeparator" w:id="0">
    <w:p w:rsidR="008B61A1" w:rsidRDefault="008B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81" w:rsidRPr="00A83E2A" w:rsidRDefault="00CF47ED">
    <w:pPr>
      <w:pStyle w:val="Nagwek"/>
    </w:pPr>
    <w:r>
      <w:rPr>
        <w:noProof/>
      </w:rPr>
      <w:drawing>
        <wp:inline distT="0" distB="0" distL="0" distR="0">
          <wp:extent cx="5943600" cy="552450"/>
          <wp:effectExtent l="0" t="0" r="0" b="0"/>
          <wp:docPr id="1" name="Obraz 1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E2A">
      <w:t xml:space="preserve"> </w:t>
    </w:r>
    <w:r w:rsidR="005B1722">
      <w:t xml:space="preserve">        </w:t>
    </w:r>
  </w:p>
  <w:p w:rsidR="00B30281" w:rsidRPr="007858B1" w:rsidRDefault="00B30281">
    <w:pPr>
      <w:pStyle w:val="Nagwek"/>
      <w:rPr>
        <w:rFonts w:ascii="DINPl" w:hAnsi="DINPl"/>
      </w:rPr>
    </w:pPr>
    <w:r>
      <w:t xml:space="preserve">   </w:t>
    </w:r>
    <w:r w:rsidR="007858B1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023"/>
    <w:multiLevelType w:val="hybridMultilevel"/>
    <w:tmpl w:val="C3A4E8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5541"/>
    <w:rsid w:val="00006765"/>
    <w:rsid w:val="00055E7D"/>
    <w:rsid w:val="000642FA"/>
    <w:rsid w:val="00070395"/>
    <w:rsid w:val="000821FE"/>
    <w:rsid w:val="000C341D"/>
    <w:rsid w:val="000F0201"/>
    <w:rsid w:val="001000FF"/>
    <w:rsid w:val="00122D1E"/>
    <w:rsid w:val="0012404D"/>
    <w:rsid w:val="00124B17"/>
    <w:rsid w:val="001B34CA"/>
    <w:rsid w:val="001D0402"/>
    <w:rsid w:val="0021240B"/>
    <w:rsid w:val="00220A66"/>
    <w:rsid w:val="00245355"/>
    <w:rsid w:val="00247D11"/>
    <w:rsid w:val="002515FF"/>
    <w:rsid w:val="00262876"/>
    <w:rsid w:val="00284FD0"/>
    <w:rsid w:val="002942A2"/>
    <w:rsid w:val="002A7D41"/>
    <w:rsid w:val="002B0413"/>
    <w:rsid w:val="002C6422"/>
    <w:rsid w:val="002F1F4B"/>
    <w:rsid w:val="00313B30"/>
    <w:rsid w:val="00317B6E"/>
    <w:rsid w:val="00334FB5"/>
    <w:rsid w:val="00346F57"/>
    <w:rsid w:val="003517A2"/>
    <w:rsid w:val="00363E52"/>
    <w:rsid w:val="003652F4"/>
    <w:rsid w:val="00380E61"/>
    <w:rsid w:val="003B030B"/>
    <w:rsid w:val="003D521C"/>
    <w:rsid w:val="003E4A26"/>
    <w:rsid w:val="003F23F4"/>
    <w:rsid w:val="004414C7"/>
    <w:rsid w:val="00454A31"/>
    <w:rsid w:val="004656AE"/>
    <w:rsid w:val="004877AB"/>
    <w:rsid w:val="004C6615"/>
    <w:rsid w:val="00531831"/>
    <w:rsid w:val="005766D8"/>
    <w:rsid w:val="00596088"/>
    <w:rsid w:val="005B1722"/>
    <w:rsid w:val="005F766A"/>
    <w:rsid w:val="005F792F"/>
    <w:rsid w:val="006217BE"/>
    <w:rsid w:val="00641FC7"/>
    <w:rsid w:val="00655997"/>
    <w:rsid w:val="006945E8"/>
    <w:rsid w:val="006A44D3"/>
    <w:rsid w:val="006D4AE3"/>
    <w:rsid w:val="00711192"/>
    <w:rsid w:val="00763BF0"/>
    <w:rsid w:val="00770619"/>
    <w:rsid w:val="007858B1"/>
    <w:rsid w:val="007B2AD5"/>
    <w:rsid w:val="007C4322"/>
    <w:rsid w:val="007D2789"/>
    <w:rsid w:val="007F64A8"/>
    <w:rsid w:val="00803F08"/>
    <w:rsid w:val="00804521"/>
    <w:rsid w:val="00830F20"/>
    <w:rsid w:val="00857013"/>
    <w:rsid w:val="008A2022"/>
    <w:rsid w:val="008B35AA"/>
    <w:rsid w:val="008B61A1"/>
    <w:rsid w:val="00935224"/>
    <w:rsid w:val="0094442D"/>
    <w:rsid w:val="00962956"/>
    <w:rsid w:val="009925F8"/>
    <w:rsid w:val="00A00411"/>
    <w:rsid w:val="00A060DB"/>
    <w:rsid w:val="00A34D92"/>
    <w:rsid w:val="00A83E2A"/>
    <w:rsid w:val="00A955BD"/>
    <w:rsid w:val="00AD031A"/>
    <w:rsid w:val="00AE457F"/>
    <w:rsid w:val="00B04E7C"/>
    <w:rsid w:val="00B15E8C"/>
    <w:rsid w:val="00B20D15"/>
    <w:rsid w:val="00B30281"/>
    <w:rsid w:val="00B77EA1"/>
    <w:rsid w:val="00BE1E83"/>
    <w:rsid w:val="00BE580E"/>
    <w:rsid w:val="00C02204"/>
    <w:rsid w:val="00C44584"/>
    <w:rsid w:val="00C55A35"/>
    <w:rsid w:val="00CD36E9"/>
    <w:rsid w:val="00CE3245"/>
    <w:rsid w:val="00CF47ED"/>
    <w:rsid w:val="00D2390D"/>
    <w:rsid w:val="00D34946"/>
    <w:rsid w:val="00D444D8"/>
    <w:rsid w:val="00D47BF0"/>
    <w:rsid w:val="00D5748E"/>
    <w:rsid w:val="00D72FA5"/>
    <w:rsid w:val="00DF5F51"/>
    <w:rsid w:val="00E2706C"/>
    <w:rsid w:val="00E93A15"/>
    <w:rsid w:val="00E95E8B"/>
    <w:rsid w:val="00EE36C2"/>
    <w:rsid w:val="00F1031D"/>
    <w:rsid w:val="00F22C04"/>
    <w:rsid w:val="00FC5613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ug.com.pl/relacje-inwestorski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portroczny2015.lug.com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lacje@lug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portroczny2015.lug.com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nika.bartoszak@lug.com.pl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aportroczny2015.lug.com.pl/" TargetMode="External"/><Relationship Id="rId14" Type="http://schemas.openxmlformats.org/officeDocument/2006/relationships/hyperlink" Target="http://www.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0012-63F5-4FB0-AA4B-60179DC8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4265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Monika</cp:lastModifiedBy>
  <cp:revision>10</cp:revision>
  <cp:lastPrinted>2011-05-19T12:24:00Z</cp:lastPrinted>
  <dcterms:created xsi:type="dcterms:W3CDTF">2016-01-29T10:54:00Z</dcterms:created>
  <dcterms:modified xsi:type="dcterms:W3CDTF">2016-05-24T09:39:00Z</dcterms:modified>
</cp:coreProperties>
</file>